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72"/>
      </w:tblGrid>
      <w:tr w:rsidR="00CC1068" w14:paraId="599F19DC" w14:textId="77777777" w:rsidTr="00D35BB6">
        <w:tc>
          <w:tcPr>
            <w:tcW w:w="9212" w:type="dxa"/>
            <w:tcBorders>
              <w:top w:val="nil"/>
              <w:left w:val="nil"/>
              <w:bottom w:val="nil"/>
              <w:right w:val="nil"/>
            </w:tcBorders>
          </w:tcPr>
          <w:p w14:paraId="4146ED33" w14:textId="158D3084" w:rsidR="00CC1068" w:rsidRPr="00D35BB6" w:rsidRDefault="0072327C" w:rsidP="00CC1068">
            <w:pPr>
              <w:jc w:val="center"/>
              <w:rPr>
                <w:bCs/>
                <w:color w:val="0066CC"/>
                <w:sz w:val="36"/>
                <w:szCs w:val="36"/>
                <w14:textOutline w14:w="0" w14:cap="flat" w14:cmpd="sng" w14:algn="ctr">
                  <w14:noFill/>
                  <w14:prstDash w14:val="solid"/>
                  <w14:round/>
                </w14:textOutline>
              </w:rPr>
            </w:pPr>
            <w:r w:rsidRPr="00D35BB6">
              <w:rPr>
                <w:bCs/>
                <w:color w:val="0066CC"/>
                <w:sz w:val="36"/>
                <w:szCs w:val="36"/>
                <w14:textOutline w14:w="0" w14:cap="flat" w14:cmpd="sng" w14:algn="ctr">
                  <w14:noFill/>
                  <w14:prstDash w14:val="solid"/>
                  <w14:round/>
                </w14:textOutline>
              </w:rPr>
              <w:t>P</w:t>
            </w:r>
            <w:r w:rsidR="00CC1068" w:rsidRPr="00D35BB6">
              <w:rPr>
                <w:bCs/>
                <w:color w:val="0066CC"/>
                <w:sz w:val="36"/>
                <w:szCs w:val="36"/>
                <w14:textOutline w14:w="0" w14:cap="flat" w14:cmpd="sng" w14:algn="ctr">
                  <w14:noFill/>
                  <w14:prstDash w14:val="solid"/>
                  <w14:round/>
                </w14:textOutline>
              </w:rPr>
              <w:t>lan filière GNV-bioGNV</w:t>
            </w:r>
            <w:r w:rsidRPr="00D35BB6">
              <w:rPr>
                <w:bCs/>
                <w:color w:val="0066CC"/>
                <w:sz w:val="36"/>
                <w:szCs w:val="36"/>
                <w14:textOutline w14:w="0" w14:cap="flat" w14:cmpd="sng" w14:algn="ctr">
                  <w14:noFill/>
                  <w14:prstDash w14:val="solid"/>
                  <w14:round/>
                </w14:textOutline>
              </w:rPr>
              <w:t xml:space="preserve"> et mesures </w:t>
            </w:r>
            <w:r w:rsidR="0078522E" w:rsidRPr="00D35BB6">
              <w:rPr>
                <w:bCs/>
                <w:color w:val="0066CC"/>
                <w:sz w:val="36"/>
                <w:szCs w:val="36"/>
                <w14:textOutline w14:w="0" w14:cap="flat" w14:cmpd="sng" w14:algn="ctr">
                  <w14:noFill/>
                  <w14:prstDash w14:val="solid"/>
                  <w14:round/>
                </w14:textOutline>
              </w:rPr>
              <w:t>de soutien proposées</w:t>
            </w:r>
          </w:p>
          <w:p w14:paraId="2AC81A20" w14:textId="30DFE5E4" w:rsidR="00CC1068" w:rsidRPr="00D35BB6" w:rsidRDefault="0078522E" w:rsidP="00CC1068">
            <w:pPr>
              <w:jc w:val="center"/>
            </w:pPr>
            <w:r w:rsidRPr="00D35BB6">
              <w:rPr>
                <w:sz w:val="28"/>
                <w:szCs w:val="28"/>
                <w14:textOutline w14:w="0" w14:cap="flat" w14:cmpd="sng" w14:algn="ctr">
                  <w14:noFill/>
                  <w14:prstDash w14:val="solid"/>
                  <w14:round/>
                </w14:textOutline>
              </w:rPr>
              <w:t>1</w:t>
            </w:r>
            <w:r w:rsidR="00EB3740" w:rsidRPr="00D35BB6">
              <w:rPr>
                <w:sz w:val="28"/>
                <w:szCs w:val="28"/>
                <w14:textOutline w14:w="0" w14:cap="flat" w14:cmpd="sng" w14:algn="ctr">
                  <w14:noFill/>
                  <w14:prstDash w14:val="solid"/>
                  <w14:round/>
                </w14:textOutline>
              </w:rPr>
              <w:t xml:space="preserve">9 </w:t>
            </w:r>
            <w:r w:rsidR="00E87B58" w:rsidRPr="00D35BB6">
              <w:rPr>
                <w:sz w:val="28"/>
                <w:szCs w:val="28"/>
                <w14:textOutline w14:w="0" w14:cap="flat" w14:cmpd="sng" w14:algn="ctr">
                  <w14:noFill/>
                  <w14:prstDash w14:val="solid"/>
                  <w14:round/>
                </w14:textOutline>
              </w:rPr>
              <w:t xml:space="preserve">septembre </w:t>
            </w:r>
            <w:r w:rsidR="00CC1068" w:rsidRPr="00D35BB6">
              <w:rPr>
                <w:sz w:val="28"/>
                <w:szCs w:val="28"/>
                <w14:textOutline w14:w="0" w14:cap="flat" w14:cmpd="sng" w14:algn="ctr">
                  <w14:noFill/>
                  <w14:prstDash w14:val="solid"/>
                  <w14:round/>
                </w14:textOutline>
              </w:rPr>
              <w:t>2022</w:t>
            </w:r>
          </w:p>
        </w:tc>
      </w:tr>
    </w:tbl>
    <w:p w14:paraId="38C5788E" w14:textId="224C4EA2" w:rsidR="005A29C5" w:rsidRPr="00D35BB6" w:rsidRDefault="005A29C5" w:rsidP="005A29C5">
      <w:pPr>
        <w:spacing w:after="0"/>
        <w:rPr>
          <w:sz w:val="14"/>
          <w:szCs w:val="14"/>
        </w:rPr>
      </w:pPr>
    </w:p>
    <w:p w14:paraId="1BA82E0B" w14:textId="77777777" w:rsidR="00855B74" w:rsidRPr="00D35BB6" w:rsidRDefault="00855B74" w:rsidP="005A29C5">
      <w:pPr>
        <w:rPr>
          <w:sz w:val="4"/>
          <w:szCs w:val="4"/>
        </w:rPr>
      </w:pPr>
    </w:p>
    <w:p w14:paraId="2DA5C4BD" w14:textId="14745255" w:rsidR="00D62608" w:rsidRDefault="005A29C5" w:rsidP="00D35BB6">
      <w:pPr>
        <w:jc w:val="both"/>
      </w:pPr>
      <w:r w:rsidRPr="00AC42D6">
        <w:t xml:space="preserve">Le plan filière GNV-bioGNV publié en mai 2022 </w:t>
      </w:r>
      <w:r w:rsidR="00EC2953">
        <w:t>vise à permettre l’essor du bioGNV</w:t>
      </w:r>
      <w:r w:rsidR="00A03BC2">
        <w:t xml:space="preserve">, énergie </w:t>
      </w:r>
      <w:r w:rsidR="00D3199D">
        <w:t>indispensable pour décarboner la mobilité lourde</w:t>
      </w:r>
      <w:r w:rsidR="00096BBC">
        <w:t>.</w:t>
      </w:r>
    </w:p>
    <w:p w14:paraId="44200009" w14:textId="77777777" w:rsidR="00855B74" w:rsidRDefault="00096BBC" w:rsidP="000D29B3">
      <w:pPr>
        <w:jc w:val="both"/>
      </w:pPr>
      <w:r>
        <w:t>L</w:t>
      </w:r>
      <w:r w:rsidR="005A29C5" w:rsidRPr="00096BBC">
        <w:t>a poursuite du dé</w:t>
      </w:r>
      <w:r w:rsidR="0088502A">
        <w:t>veloppement</w:t>
      </w:r>
      <w:r w:rsidR="005A29C5" w:rsidRPr="00096BBC">
        <w:t xml:space="preserve"> de la </w:t>
      </w:r>
      <w:r w:rsidR="003D5B5E" w:rsidRPr="00096BBC">
        <w:t>technologie GNV</w:t>
      </w:r>
      <w:r w:rsidR="005A29C5" w:rsidRPr="00096BBC">
        <w:t xml:space="preserve"> </w:t>
      </w:r>
      <w:r>
        <w:t>portée par</w:t>
      </w:r>
      <w:r w:rsidRPr="00096BBC">
        <w:t xml:space="preserve"> la </w:t>
      </w:r>
      <w:r w:rsidR="005A29C5" w:rsidRPr="00096BBC">
        <w:t>croissance du parc de véhicules</w:t>
      </w:r>
      <w:r w:rsidRPr="00096BBC">
        <w:t xml:space="preserve"> et le</w:t>
      </w:r>
      <w:r w:rsidR="005A29C5" w:rsidRPr="00096BBC">
        <w:t xml:space="preserve"> déploiement de</w:t>
      </w:r>
      <w:r w:rsidRPr="00096BBC">
        <w:t xml:space="preserve"> nouvelles</w:t>
      </w:r>
      <w:r w:rsidR="005A29C5" w:rsidRPr="00096BBC">
        <w:t xml:space="preserve"> station</w:t>
      </w:r>
      <w:r>
        <w:t xml:space="preserve">s a pour objectif </w:t>
      </w:r>
      <w:r w:rsidR="005A29C5" w:rsidRPr="00096BBC">
        <w:t>de</w:t>
      </w:r>
      <w:r w:rsidR="00A26118" w:rsidRPr="00096BBC">
        <w:t xml:space="preserve"> positionner le bioGNV </w:t>
      </w:r>
      <w:r w:rsidR="00B0628E">
        <w:t xml:space="preserve">comme </w:t>
      </w:r>
      <w:r w:rsidR="004428C0">
        <w:t xml:space="preserve">horizon </w:t>
      </w:r>
      <w:r w:rsidR="00A26118" w:rsidRPr="00096BBC">
        <w:t>de la filière</w:t>
      </w:r>
      <w:r w:rsidR="005A29C5" w:rsidRPr="00096BBC">
        <w:t xml:space="preserve">. </w:t>
      </w:r>
    </w:p>
    <w:p w14:paraId="5AF11C47" w14:textId="77777777" w:rsidR="00855B74" w:rsidRDefault="005A29C5" w:rsidP="00D35BB6">
      <w:pPr>
        <w:spacing w:after="0"/>
        <w:jc w:val="both"/>
      </w:pPr>
      <w:r w:rsidRPr="00096BBC">
        <w:t>L’ambition du plan filière est</w:t>
      </w:r>
      <w:r w:rsidR="00A26118" w:rsidRPr="00096BBC">
        <w:t xml:space="preserve"> ainsi</w:t>
      </w:r>
      <w:r w:rsidRPr="00096BBC">
        <w:t xml:space="preserve"> d’atteindre</w:t>
      </w:r>
      <w:r w:rsidR="00855B74">
        <w:t> :</w:t>
      </w:r>
    </w:p>
    <w:p w14:paraId="08EE7D18" w14:textId="59AC7BB6" w:rsidR="00855B74" w:rsidRDefault="005A29C5" w:rsidP="00F3304A">
      <w:pPr>
        <w:pStyle w:val="Paragraphedeliste"/>
        <w:numPr>
          <w:ilvl w:val="0"/>
          <w:numId w:val="47"/>
        </w:numPr>
        <w:jc w:val="both"/>
      </w:pPr>
      <w:r w:rsidRPr="00096BBC">
        <w:t xml:space="preserve">50% de bioGNV </w:t>
      </w:r>
      <w:r w:rsidR="00A26118" w:rsidRPr="00096BBC">
        <w:t>dès</w:t>
      </w:r>
      <w:r w:rsidRPr="00096BBC">
        <w:t xml:space="preserve"> 2025 (~5 TWh) </w:t>
      </w:r>
    </w:p>
    <w:p w14:paraId="2224BE36" w14:textId="4912DD0B" w:rsidR="005A29C5" w:rsidRDefault="005A29C5" w:rsidP="00855B74">
      <w:pPr>
        <w:pStyle w:val="Paragraphedeliste"/>
        <w:numPr>
          <w:ilvl w:val="0"/>
          <w:numId w:val="47"/>
        </w:numPr>
        <w:jc w:val="both"/>
      </w:pPr>
      <w:r w:rsidRPr="00096BBC">
        <w:t>100% en 2033 (~30 TWh).</w:t>
      </w:r>
    </w:p>
    <w:p w14:paraId="528372CD" w14:textId="77777777" w:rsidR="00855B74" w:rsidRDefault="00855B74" w:rsidP="00D35BB6">
      <w:pPr>
        <w:pStyle w:val="Paragraphedeliste"/>
        <w:ind w:left="4968"/>
        <w:jc w:val="both"/>
      </w:pPr>
    </w:p>
    <w:p w14:paraId="6EB718AC" w14:textId="73B6C65C" w:rsidR="00D31F75" w:rsidRPr="00D35BB6" w:rsidRDefault="00A8775F" w:rsidP="00D35BB6">
      <w:pPr>
        <w:jc w:val="center"/>
        <w:rPr>
          <w:sz w:val="2"/>
          <w:szCs w:val="2"/>
        </w:rPr>
      </w:pPr>
      <w:r>
        <w:rPr>
          <w:noProof/>
        </w:rPr>
        <w:drawing>
          <wp:inline distT="0" distB="0" distL="0" distR="0" wp14:anchorId="681DC6B0" wp14:editId="5B0D3449">
            <wp:extent cx="5500059" cy="3225343"/>
            <wp:effectExtent l="38100" t="38100" r="100965" b="895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2568" cy="3226814"/>
                    </a:xfrm>
                    <a:prstGeom prst="rect">
                      <a:avLst/>
                    </a:prstGeom>
                    <a:ln>
                      <a:noFill/>
                    </a:ln>
                    <a:effectLst>
                      <a:outerShdw blurRad="50800" dist="38100" dir="2700000" algn="tl" rotWithShape="0">
                        <a:prstClr val="black">
                          <a:alpha val="40000"/>
                        </a:prstClr>
                      </a:outerShdw>
                    </a:effectLst>
                  </pic:spPr>
                </pic:pic>
              </a:graphicData>
            </a:graphic>
          </wp:inline>
        </w:drawing>
      </w:r>
    </w:p>
    <w:p w14:paraId="1D5F3D59" w14:textId="45E4AFAF" w:rsidR="00096BBC" w:rsidRPr="00E105E4" w:rsidRDefault="005A29C5" w:rsidP="00D35BB6">
      <w:pPr>
        <w:jc w:val="both"/>
      </w:pPr>
      <w:r>
        <w:t xml:space="preserve">Pour </w:t>
      </w:r>
      <w:r w:rsidR="00903F04">
        <w:t>réaliser cette ambition</w:t>
      </w:r>
      <w:r w:rsidRPr="00E105E4">
        <w:t xml:space="preserve">, la filière doit disposer de bioGNV </w:t>
      </w:r>
      <w:r w:rsidR="0088502A">
        <w:t>à</w:t>
      </w:r>
      <w:r w:rsidRPr="00E105E4">
        <w:t xml:space="preserve"> un niveau de prix acceptable </w:t>
      </w:r>
      <w:r w:rsidR="00E90578">
        <w:t>afin</w:t>
      </w:r>
      <w:r w:rsidRPr="00E105E4">
        <w:t xml:space="preserve"> que le secteur du transport </w:t>
      </w:r>
      <w:r w:rsidR="00655220" w:rsidRPr="00E105E4">
        <w:t xml:space="preserve">routier lourd </w:t>
      </w:r>
      <w:r w:rsidRPr="00E105E4">
        <w:t>puisse s’appuyer sur un modèle économique viable et compétitif.</w:t>
      </w:r>
      <w:r w:rsidR="00E5711F">
        <w:t xml:space="preserve"> </w:t>
      </w:r>
      <w:r w:rsidR="009A593F">
        <w:t>Il faut souligner que l</w:t>
      </w:r>
      <w:r w:rsidR="00E5711F">
        <w:t xml:space="preserve">’Etat </w:t>
      </w:r>
      <w:r w:rsidR="00C26F2C">
        <w:t>a contribué de façon décisive</w:t>
      </w:r>
      <w:r w:rsidR="009A593F">
        <w:t xml:space="preserve"> à lancer </w:t>
      </w:r>
      <w:r w:rsidR="00D45143">
        <w:t xml:space="preserve">le bioGNV en soutenant </w:t>
      </w:r>
      <w:r w:rsidR="00087053">
        <w:t xml:space="preserve">les producteurs </w:t>
      </w:r>
      <w:r w:rsidR="00705AFA">
        <w:t xml:space="preserve">de biométhane </w:t>
      </w:r>
      <w:r w:rsidR="00087053">
        <w:t xml:space="preserve">grâce </w:t>
      </w:r>
      <w:r w:rsidR="00416607">
        <w:t>à un</w:t>
      </w:r>
      <w:r w:rsidR="00087053">
        <w:t xml:space="preserve"> tarif d</w:t>
      </w:r>
      <w:r w:rsidR="008A1D30">
        <w:t>e r</w:t>
      </w:r>
      <w:r w:rsidR="00087053">
        <w:t>ach</w:t>
      </w:r>
      <w:r w:rsidR="001B6DE9">
        <w:t>a</w:t>
      </w:r>
      <w:r w:rsidR="00087053">
        <w:t xml:space="preserve">t </w:t>
      </w:r>
      <w:r w:rsidR="001577FE">
        <w:t>qui a longtemps été supérieur au</w:t>
      </w:r>
      <w:r w:rsidR="005D0930">
        <w:t>x</w:t>
      </w:r>
      <w:r w:rsidR="001577FE">
        <w:t xml:space="preserve"> prix de marché du gaz. </w:t>
      </w:r>
      <w:r w:rsidR="00C26F2C">
        <w:t xml:space="preserve"> </w:t>
      </w:r>
    </w:p>
    <w:p w14:paraId="57755283" w14:textId="77777777" w:rsidR="00855B74" w:rsidRDefault="00096BBC" w:rsidP="000D29B3">
      <w:pPr>
        <w:jc w:val="both"/>
      </w:pPr>
      <w:r w:rsidRPr="00E105E4">
        <w:t>Or d</w:t>
      </w:r>
      <w:r w:rsidR="005A29C5" w:rsidRPr="00E105E4">
        <w:t>epuis septembre 2021</w:t>
      </w:r>
      <w:r w:rsidR="0088502A">
        <w:t xml:space="preserve"> et encore davantage depuis le déclenchement de la guerre en Ukraine,</w:t>
      </w:r>
      <w:r w:rsidRPr="00E105E4">
        <w:t xml:space="preserve"> </w:t>
      </w:r>
      <w:r w:rsidR="00655220" w:rsidRPr="00E105E4">
        <w:t>le</w:t>
      </w:r>
      <w:r w:rsidR="0084607C" w:rsidRPr="00E105E4">
        <w:t>s</w:t>
      </w:r>
      <w:r w:rsidR="005A29C5" w:rsidRPr="00E105E4">
        <w:t xml:space="preserve"> prix du </w:t>
      </w:r>
      <w:r w:rsidR="008A1D30">
        <w:t xml:space="preserve">gaz, et donc du </w:t>
      </w:r>
      <w:r w:rsidRPr="00E105E4">
        <w:t>GNV</w:t>
      </w:r>
      <w:r w:rsidR="0084607C" w:rsidRPr="00E105E4">
        <w:t xml:space="preserve"> et du bioGNV</w:t>
      </w:r>
      <w:r w:rsidR="005056C6">
        <w:t>,</w:t>
      </w:r>
      <w:r w:rsidR="0084607C" w:rsidRPr="00E105E4">
        <w:t xml:space="preserve"> </w:t>
      </w:r>
      <w:r w:rsidR="00752DDA">
        <w:t>ont atteint</w:t>
      </w:r>
      <w:r w:rsidR="00752DDA" w:rsidRPr="00E105E4">
        <w:t xml:space="preserve"> </w:t>
      </w:r>
      <w:r w:rsidR="0084607C" w:rsidRPr="00E105E4">
        <w:t xml:space="preserve">des niveaux </w:t>
      </w:r>
      <w:r w:rsidR="00324FC8">
        <w:t>extrêmement</w:t>
      </w:r>
      <w:r w:rsidRPr="00E105E4">
        <w:t xml:space="preserve"> élevés</w:t>
      </w:r>
      <w:r w:rsidR="0084607C" w:rsidRPr="00E105E4">
        <w:t>.</w:t>
      </w:r>
      <w:r w:rsidR="00B023A1">
        <w:t xml:space="preserve"> </w:t>
      </w:r>
    </w:p>
    <w:p w14:paraId="688EF440" w14:textId="17D8139E" w:rsidR="0088502A" w:rsidRDefault="001431A1" w:rsidP="00D35BB6">
      <w:pPr>
        <w:jc w:val="both"/>
      </w:pPr>
      <w:r>
        <w:t>A</w:t>
      </w:r>
      <w:r w:rsidR="00500B75">
        <w:t>lors qu’a</w:t>
      </w:r>
      <w:r>
        <w:t xml:space="preserve">uparavant </w:t>
      </w:r>
      <w:r w:rsidR="00500B75">
        <w:t>les</w:t>
      </w:r>
      <w:r w:rsidR="008329D8">
        <w:t xml:space="preserve"> prix </w:t>
      </w:r>
      <w:r w:rsidR="00500B75">
        <w:t xml:space="preserve">du GNV-bioGNV </w:t>
      </w:r>
      <w:r w:rsidR="008329D8">
        <w:t xml:space="preserve">étaient </w:t>
      </w:r>
      <w:r w:rsidR="00D95EE4">
        <w:t xml:space="preserve">environ </w:t>
      </w:r>
      <w:r w:rsidR="008329D8">
        <w:t>20% inférieurs à ceux du gazole</w:t>
      </w:r>
      <w:r w:rsidR="007E205E">
        <w:t xml:space="preserve">, </w:t>
      </w:r>
      <w:r w:rsidR="004F452E">
        <w:t xml:space="preserve">ce qui plaçait les investisseurs </w:t>
      </w:r>
      <w:r w:rsidR="00893A91">
        <w:t xml:space="preserve">de la mobilité gaz à peu près à égalité </w:t>
      </w:r>
      <w:r w:rsidR="00E13631">
        <w:t xml:space="preserve">avec les </w:t>
      </w:r>
      <w:r w:rsidR="006156C5">
        <w:t>diésélistes</w:t>
      </w:r>
      <w:r w:rsidR="00E13631">
        <w:t xml:space="preserve"> en termes de TCO</w:t>
      </w:r>
      <w:r w:rsidR="00500B75">
        <w:t>, d</w:t>
      </w:r>
      <w:r w:rsidR="00AB3913">
        <w:t xml:space="preserve">ébut septembre 2022, le kilo de </w:t>
      </w:r>
      <w:r w:rsidR="00372B90">
        <w:t>gaz carburant</w:t>
      </w:r>
      <w:r w:rsidR="00AB3913">
        <w:t xml:space="preserve"> </w:t>
      </w:r>
      <w:r w:rsidR="008C1A86">
        <w:t>affiche</w:t>
      </w:r>
      <w:r w:rsidR="0028234E">
        <w:t xml:space="preserve"> </w:t>
      </w:r>
      <w:r w:rsidR="00372B90">
        <w:t>un prix</w:t>
      </w:r>
      <w:r w:rsidR="00A66591">
        <w:t xml:space="preserve"> double</w:t>
      </w:r>
      <w:r w:rsidR="00DA31D7">
        <w:t xml:space="preserve"> </w:t>
      </w:r>
      <w:r w:rsidR="00372B90">
        <w:t>de celui</w:t>
      </w:r>
      <w:r w:rsidR="00DA31D7">
        <w:t xml:space="preserve"> du litre de gazole</w:t>
      </w:r>
      <w:r w:rsidR="00341038">
        <w:rPr>
          <w:rStyle w:val="Appelnotedebasdep"/>
        </w:rPr>
        <w:footnoteReference w:id="2"/>
      </w:r>
      <w:r w:rsidR="00DA31D7">
        <w:t>.</w:t>
      </w:r>
      <w:r w:rsidR="005A1B2C">
        <w:t xml:space="preserve"> Une situation intenable dans la durée</w:t>
      </w:r>
      <w:r w:rsidR="00611D45">
        <w:t xml:space="preserve"> (</w:t>
      </w:r>
      <w:r w:rsidR="00611D45" w:rsidRPr="00D35BB6">
        <w:rPr>
          <w:i/>
          <w:iCs/>
        </w:rPr>
        <w:t>voir courbe</w:t>
      </w:r>
      <w:r w:rsidR="005525A2" w:rsidRPr="00D35BB6">
        <w:rPr>
          <w:i/>
          <w:iCs/>
        </w:rPr>
        <w:t xml:space="preserve">, source </w:t>
      </w:r>
      <w:r w:rsidR="00697721" w:rsidRPr="00D35BB6">
        <w:rPr>
          <w:i/>
          <w:iCs/>
        </w:rPr>
        <w:t>filière</w:t>
      </w:r>
      <w:r w:rsidR="00611D45">
        <w:t>)</w:t>
      </w:r>
      <w:r w:rsidR="005A1B2C">
        <w:t>.</w:t>
      </w:r>
      <w:r w:rsidR="008329D8">
        <w:t xml:space="preserve"> </w:t>
      </w:r>
    </w:p>
    <w:p w14:paraId="7C0215FB" w14:textId="7B160AD7" w:rsidR="00A64B54" w:rsidRDefault="00A64B54" w:rsidP="00D35BB6">
      <w:pPr>
        <w:jc w:val="center"/>
      </w:pPr>
      <w:r>
        <w:rPr>
          <w:noProof/>
        </w:rPr>
        <w:lastRenderedPageBreak/>
        <w:drawing>
          <wp:inline distT="0" distB="0" distL="0" distR="0" wp14:anchorId="17AACC13" wp14:editId="6C0E95A4">
            <wp:extent cx="5486400" cy="3200400"/>
            <wp:effectExtent l="57150" t="57150" r="133350" b="1333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0897B8" w14:textId="60FA046B" w:rsidR="00A64B54" w:rsidRPr="00D35BB6" w:rsidRDefault="00A64B54" w:rsidP="005A29C5">
      <w:pPr>
        <w:rPr>
          <w:sz w:val="8"/>
          <w:szCs w:val="8"/>
        </w:rPr>
      </w:pPr>
    </w:p>
    <w:p w14:paraId="796C9F52" w14:textId="77777777" w:rsidR="00A278E1" w:rsidRPr="00BF4E23" w:rsidRDefault="001229AB" w:rsidP="005A29C5">
      <w:r w:rsidRPr="00BF4E23">
        <w:t xml:space="preserve">Le coup d’arrêt au dynamisme de la filière se traduit </w:t>
      </w:r>
      <w:r w:rsidR="00B27FAB" w:rsidRPr="00BF4E23">
        <w:t>brutalement</w:t>
      </w:r>
      <w:r w:rsidRPr="00BF4E23">
        <w:t xml:space="preserve"> dans les commande</w:t>
      </w:r>
      <w:r w:rsidR="000F67A0" w:rsidRPr="00BF4E23">
        <w:t>s</w:t>
      </w:r>
      <w:r w:rsidRPr="00BF4E23">
        <w:t xml:space="preserve"> </w:t>
      </w:r>
      <w:r w:rsidR="000F67A0" w:rsidRPr="00BF4E23">
        <w:t xml:space="preserve">de camions. </w:t>
      </w:r>
    </w:p>
    <w:p w14:paraId="72886E89" w14:textId="14C35794" w:rsidR="005638B1" w:rsidRDefault="00B27FAB" w:rsidP="00D35BB6">
      <w:pPr>
        <w:jc w:val="center"/>
        <w:rPr>
          <w:color w:val="7030A0"/>
        </w:rPr>
      </w:pPr>
      <w:r>
        <w:br/>
      </w:r>
      <w:r>
        <w:rPr>
          <w:noProof/>
        </w:rPr>
        <w:drawing>
          <wp:inline distT="0" distB="0" distL="0" distR="0" wp14:anchorId="40302209" wp14:editId="104DD288">
            <wp:extent cx="5760720" cy="3077269"/>
            <wp:effectExtent l="38100" t="38100" r="87630" b="10414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C8BB15" w14:textId="2503738D" w:rsidR="000D29B3" w:rsidRDefault="00966B81">
      <w:pPr>
        <w:jc w:val="both"/>
      </w:pPr>
      <w:r w:rsidRPr="00BF4E23">
        <w:t>IVECO, le principal constructeur avec plus de 50% de parts de marché en Europe, n’enregistre en France, au cours des huit premiers mois de 2022, que 134 commandes de PL GNV de 19 tonnes et plus, contre 992 commandes de PL Diesel. Soit à peine 12% des commandes, contre 39% sur la même période l’an dernier, lorsque le réseau d’avitaillement en expansion rapide et l’accès à un GNV-bioGNV compétitif entraînaient l’adhésion des chargeurs et transporteurs.</w:t>
      </w:r>
    </w:p>
    <w:p w14:paraId="064D84BE" w14:textId="0915BB8D" w:rsidR="00281898" w:rsidRPr="00BF4E23" w:rsidRDefault="000114D3" w:rsidP="00D35BB6">
      <w:pPr>
        <w:jc w:val="both"/>
      </w:pPr>
      <w:r w:rsidRPr="00BF4E23">
        <w:lastRenderedPageBreak/>
        <w:t xml:space="preserve">En outre, sur les 8 premiers mois de 2022, IVECO observe une baisse de 98% du volume de commandes </w:t>
      </w:r>
      <w:r w:rsidR="00281898" w:rsidRPr="00BF4E23">
        <w:t>de tracteurs 44t</w:t>
      </w:r>
      <w:r w:rsidRPr="00BF4E23">
        <w:t xml:space="preserve"> GNV</w:t>
      </w:r>
      <w:r w:rsidR="00966B81" w:rsidRPr="00BF4E23">
        <w:t xml:space="preserve">, soit l’arrêt brutal du </w:t>
      </w:r>
      <w:r w:rsidR="00A21F65" w:rsidRPr="00BF4E23">
        <w:t>premier vecteur de décarbonation du TRM, un marché</w:t>
      </w:r>
      <w:r w:rsidR="00281898" w:rsidRPr="00BF4E23">
        <w:t xml:space="preserve"> soutenu </w:t>
      </w:r>
      <w:r w:rsidR="00A278E1" w:rsidRPr="00BF4E23">
        <w:t xml:space="preserve">exclusivement </w:t>
      </w:r>
      <w:r w:rsidR="00281898" w:rsidRPr="00BF4E23">
        <w:t>par les investissements d’acteurs privé</w:t>
      </w:r>
      <w:r w:rsidRPr="00BF4E23">
        <w:t>s</w:t>
      </w:r>
      <w:r w:rsidR="00281898" w:rsidRPr="00BF4E23">
        <w:t xml:space="preserve"> du transport </w:t>
      </w:r>
      <w:r w:rsidRPr="00BF4E23">
        <w:t xml:space="preserve">et </w:t>
      </w:r>
      <w:r w:rsidR="00281898" w:rsidRPr="00BF4E23">
        <w:t>du BTP</w:t>
      </w:r>
      <w:r w:rsidR="00966B81" w:rsidRPr="00BF4E23">
        <w:t xml:space="preserve">. </w:t>
      </w:r>
    </w:p>
    <w:p w14:paraId="54B99A6D" w14:textId="3C517249" w:rsidR="00807A91" w:rsidRDefault="0084607C" w:rsidP="00D35BB6">
      <w:pPr>
        <w:jc w:val="both"/>
      </w:pPr>
      <w:r w:rsidRPr="00E105E4">
        <w:t>S</w:t>
      </w:r>
      <w:r w:rsidR="00E105E4" w:rsidRPr="00E105E4">
        <w:t xml:space="preserve">’il est </w:t>
      </w:r>
      <w:r w:rsidR="00167D62">
        <w:t>naturel</w:t>
      </w:r>
      <w:r w:rsidR="00167D62" w:rsidRPr="00E105E4">
        <w:t xml:space="preserve"> </w:t>
      </w:r>
      <w:r w:rsidR="00E105E4" w:rsidRPr="00E105E4">
        <w:t xml:space="preserve">que </w:t>
      </w:r>
      <w:r w:rsidR="00150263">
        <w:t>le</w:t>
      </w:r>
      <w:r w:rsidRPr="00E105E4">
        <w:t xml:space="preserve"> prix du GNV </w:t>
      </w:r>
      <w:r w:rsidR="00167D62">
        <w:t>sui</w:t>
      </w:r>
      <w:r w:rsidR="000A14B9">
        <w:t>ve</w:t>
      </w:r>
      <w:r w:rsidRPr="00E105E4">
        <w:t xml:space="preserve"> l’évolution d</w:t>
      </w:r>
      <w:r w:rsidR="00950E6D">
        <w:t>es</w:t>
      </w:r>
      <w:r w:rsidRPr="00E105E4">
        <w:t xml:space="preserve"> prix </w:t>
      </w:r>
      <w:r w:rsidR="00950E6D">
        <w:t xml:space="preserve">internationaux </w:t>
      </w:r>
      <w:r w:rsidRPr="00E105E4">
        <w:t>du gaz</w:t>
      </w:r>
      <w:r w:rsidR="00E105E4" w:rsidRPr="00E105E4">
        <w:t xml:space="preserve">, </w:t>
      </w:r>
      <w:r w:rsidR="00033BA4">
        <w:t>actuellement</w:t>
      </w:r>
      <w:r w:rsidRPr="00E105E4">
        <w:t xml:space="preserve"> soumis </w:t>
      </w:r>
      <w:r w:rsidR="00F3612A">
        <w:t>à</w:t>
      </w:r>
      <w:r w:rsidRPr="00E105E4">
        <w:t xml:space="preserve"> de fortes tensions</w:t>
      </w:r>
      <w:r w:rsidR="00E105E4" w:rsidRPr="00E105E4">
        <w:t xml:space="preserve">, </w:t>
      </w:r>
      <w:r w:rsidR="00950E6D">
        <w:t>il n’en va pas de même du</w:t>
      </w:r>
      <w:r w:rsidR="00950E6D" w:rsidRPr="00E105E4">
        <w:t xml:space="preserve"> </w:t>
      </w:r>
      <w:r w:rsidR="00E105E4" w:rsidRPr="00E105E4">
        <w:t>prix du bioGNV issu d</w:t>
      </w:r>
      <w:r w:rsidR="0088502A">
        <w:t>e</w:t>
      </w:r>
      <w:r w:rsidR="00E105E4" w:rsidRPr="00E105E4">
        <w:t xml:space="preserve"> biométhane produit </w:t>
      </w:r>
      <w:r w:rsidR="00E90578">
        <w:t>localement</w:t>
      </w:r>
      <w:r w:rsidR="00807A91">
        <w:t>.</w:t>
      </w:r>
    </w:p>
    <w:p w14:paraId="1A2F6BA6" w14:textId="40516452" w:rsidR="00E105E4" w:rsidRPr="00E105E4" w:rsidRDefault="0088502A" w:rsidP="00D35BB6">
      <w:pPr>
        <w:jc w:val="both"/>
      </w:pPr>
      <w:r w:rsidRPr="00E45844">
        <w:t>C’est pourtant le cas aujourd’hui</w:t>
      </w:r>
      <w:r w:rsidR="00807A91" w:rsidRPr="00E45844">
        <w:t> : en effet, l</w:t>
      </w:r>
      <w:r w:rsidR="00E105E4" w:rsidRPr="00E45844">
        <w:t xml:space="preserve">a hausse du prix du bioGNV </w:t>
      </w:r>
      <w:r w:rsidR="00F3612A" w:rsidRPr="00E45844">
        <w:t xml:space="preserve">ne </w:t>
      </w:r>
      <w:r w:rsidR="00E105E4" w:rsidRPr="00E45844">
        <w:t xml:space="preserve">résulte </w:t>
      </w:r>
      <w:r w:rsidR="00F3612A" w:rsidRPr="00E45844">
        <w:t xml:space="preserve">pas </w:t>
      </w:r>
      <w:r w:rsidR="00E105E4" w:rsidRPr="00E45844">
        <w:t xml:space="preserve">d’un mécanisme de marché, mais des effets de la réglementation </w:t>
      </w:r>
      <w:r w:rsidR="00F3612A" w:rsidRPr="00E45844">
        <w:t>applicable aux conditions d’achat de biométhane. Cette réglementation jusqu’à présent très efficace</w:t>
      </w:r>
      <w:r w:rsidR="00A2338A" w:rsidRPr="00E45844">
        <w:t xml:space="preserve"> pour soutenir la méthanisation</w:t>
      </w:r>
      <w:r w:rsidR="00F3612A" w:rsidRPr="00E45844">
        <w:t xml:space="preserve">, </w:t>
      </w:r>
      <w:r w:rsidR="00E105E4" w:rsidRPr="00E45844">
        <w:t xml:space="preserve">n’a pas été conçue pour répondre à la situation de marché </w:t>
      </w:r>
      <w:r w:rsidR="0084681F" w:rsidRPr="00E45844">
        <w:t>actuelle</w:t>
      </w:r>
      <w:r w:rsidR="00E105E4" w:rsidRPr="00E45844">
        <w:t>.</w:t>
      </w:r>
    </w:p>
    <w:p w14:paraId="67B0EADF" w14:textId="591458FF" w:rsidR="00F27400" w:rsidRPr="00096BBC" w:rsidRDefault="00215116" w:rsidP="00D35BB6">
      <w:pPr>
        <w:spacing w:after="0"/>
        <w:jc w:val="both"/>
      </w:pPr>
      <w:r>
        <w:t>L’AFGNV</w:t>
      </w:r>
      <w:r w:rsidR="00E23F00">
        <w:t xml:space="preserve"> a élaboré</w:t>
      </w:r>
      <w:r>
        <w:t xml:space="preserve">, </w:t>
      </w:r>
      <w:r w:rsidR="00E23F00">
        <w:t xml:space="preserve">avec </w:t>
      </w:r>
      <w:r>
        <w:t>ses adhérents et partenaires</w:t>
      </w:r>
      <w:r w:rsidR="00E23F00">
        <w:t xml:space="preserve">, </w:t>
      </w:r>
      <w:r w:rsidR="00F27400" w:rsidRPr="00096BBC">
        <w:t xml:space="preserve">un ensemble </w:t>
      </w:r>
      <w:r w:rsidR="00C82F02">
        <w:t xml:space="preserve">cohérent </w:t>
      </w:r>
      <w:r w:rsidR="00F27400" w:rsidRPr="00096BBC">
        <w:t xml:space="preserve">de mesures </w:t>
      </w:r>
      <w:r w:rsidR="00E105E4">
        <w:t xml:space="preserve">destinées à </w:t>
      </w:r>
      <w:r w:rsidR="00A91199">
        <w:t xml:space="preserve">assurer la viabilité et le développement </w:t>
      </w:r>
      <w:r w:rsidR="00DC1ED7">
        <w:t>du</w:t>
      </w:r>
      <w:r w:rsidR="00F27400" w:rsidRPr="00096BBC">
        <w:t xml:space="preserve"> bioGNV.</w:t>
      </w:r>
      <w:r w:rsidR="00F3612A">
        <w:t xml:space="preserve"> </w:t>
      </w:r>
      <w:r w:rsidR="00F27400" w:rsidRPr="00096BBC">
        <w:t>Ce</w:t>
      </w:r>
      <w:r w:rsidR="00FD140F">
        <w:t>s</w:t>
      </w:r>
      <w:r w:rsidR="007C787C">
        <w:t xml:space="preserve"> </w:t>
      </w:r>
      <w:r w:rsidR="00F27400" w:rsidRPr="00096BBC">
        <w:t xml:space="preserve">mesures </w:t>
      </w:r>
      <w:r w:rsidR="00BD1B99">
        <w:t>couvre</w:t>
      </w:r>
      <w:r w:rsidR="00FD140F">
        <w:t>nt</w:t>
      </w:r>
      <w:r w:rsidR="00F27400" w:rsidRPr="00096BBC">
        <w:t xml:space="preserve"> des </w:t>
      </w:r>
      <w:r w:rsidR="00807A91">
        <w:t xml:space="preserve">horizons </w:t>
      </w:r>
      <w:r w:rsidR="00F27400" w:rsidRPr="00096BBC">
        <w:t>tempor</w:t>
      </w:r>
      <w:r w:rsidR="00807A91">
        <w:t xml:space="preserve">els </w:t>
      </w:r>
      <w:r w:rsidR="00BD1B99">
        <w:t>complémentaires</w:t>
      </w:r>
      <w:r w:rsidR="00135AF0">
        <w:t xml:space="preserve">. Ainsi, les </w:t>
      </w:r>
      <w:r w:rsidR="00F27400" w:rsidRPr="00096BBC">
        <w:t xml:space="preserve">mesures </w:t>
      </w:r>
      <w:r w:rsidR="00BD1B99">
        <w:t xml:space="preserve">de </w:t>
      </w:r>
      <w:r w:rsidR="00F27400" w:rsidRPr="00096BBC">
        <w:t>court terme nécessit</w:t>
      </w:r>
      <w:r w:rsidR="004C6C94">
        <w:t>a</w:t>
      </w:r>
      <w:r w:rsidR="00F27400" w:rsidRPr="00096BBC">
        <w:t xml:space="preserve">nt un soutien financier de l’Etat </w:t>
      </w:r>
      <w:r w:rsidR="00F27400" w:rsidRPr="00096BBC">
        <w:rPr>
          <w:i/>
          <w:iCs/>
        </w:rPr>
        <w:t>(</w:t>
      </w:r>
      <w:r w:rsidR="00580755">
        <w:rPr>
          <w:i/>
          <w:iCs/>
        </w:rPr>
        <w:t xml:space="preserve">limitation </w:t>
      </w:r>
      <w:r w:rsidR="00F27400" w:rsidRPr="00096BBC">
        <w:rPr>
          <w:i/>
          <w:iCs/>
        </w:rPr>
        <w:t>du prix du bioGNV, subvention à l’achat d’un camion neuf)</w:t>
      </w:r>
      <w:r w:rsidR="00CD3E04">
        <w:rPr>
          <w:i/>
          <w:iCs/>
        </w:rPr>
        <w:t xml:space="preserve"> </w:t>
      </w:r>
      <w:r w:rsidR="004C6C94">
        <w:t xml:space="preserve">pour </w:t>
      </w:r>
      <w:r w:rsidR="00F6208C">
        <w:t>restaurer</w:t>
      </w:r>
      <w:r w:rsidR="00BD1B99">
        <w:t xml:space="preserve"> la dynamique qu’a connu</w:t>
      </w:r>
      <w:r w:rsidR="00655D9C">
        <w:t>e</w:t>
      </w:r>
      <w:r w:rsidR="00BD1B99">
        <w:t xml:space="preserve"> la filière jusqu’à présent,</w:t>
      </w:r>
      <w:r w:rsidR="00F27400" w:rsidRPr="00096BBC">
        <w:t xml:space="preserve"> laissent </w:t>
      </w:r>
      <w:r w:rsidR="00875C8A">
        <w:t xml:space="preserve">ensuite </w:t>
      </w:r>
      <w:r w:rsidR="00F27400" w:rsidRPr="00096BBC">
        <w:t xml:space="preserve">la place à des mécanismes structurels </w:t>
      </w:r>
      <w:r w:rsidR="0070445F">
        <w:t>sans</w:t>
      </w:r>
      <w:r w:rsidR="00F27400" w:rsidRPr="00096BBC">
        <w:t xml:space="preserve"> surcoût pour l’Etat à </w:t>
      </w:r>
      <w:r w:rsidR="00BD1B99">
        <w:t xml:space="preserve">moyen et </w:t>
      </w:r>
      <w:r w:rsidR="00F27400" w:rsidRPr="00096BBC">
        <w:t xml:space="preserve">long terme </w:t>
      </w:r>
      <w:r w:rsidR="00F27400" w:rsidRPr="00096BBC">
        <w:rPr>
          <w:i/>
          <w:iCs/>
        </w:rPr>
        <w:t>(TIRUERT</w:t>
      </w:r>
      <w:r w:rsidR="00141D2D">
        <w:rPr>
          <w:i/>
          <w:iCs/>
        </w:rPr>
        <w:t xml:space="preserve">, </w:t>
      </w:r>
      <w:proofErr w:type="spellStart"/>
      <w:r w:rsidR="00141D2D">
        <w:rPr>
          <w:i/>
          <w:iCs/>
        </w:rPr>
        <w:t>B</w:t>
      </w:r>
      <w:r w:rsidR="007E6697">
        <w:rPr>
          <w:i/>
          <w:iCs/>
        </w:rPr>
        <w:t>iomethane</w:t>
      </w:r>
      <w:proofErr w:type="spellEnd"/>
      <w:r w:rsidR="007E6697">
        <w:rPr>
          <w:i/>
          <w:iCs/>
        </w:rPr>
        <w:t xml:space="preserve"> </w:t>
      </w:r>
      <w:proofErr w:type="spellStart"/>
      <w:r w:rsidR="00141D2D">
        <w:rPr>
          <w:i/>
          <w:iCs/>
        </w:rPr>
        <w:t>P</w:t>
      </w:r>
      <w:r w:rsidR="007E6697">
        <w:rPr>
          <w:i/>
          <w:iCs/>
        </w:rPr>
        <w:t>urchase</w:t>
      </w:r>
      <w:proofErr w:type="spellEnd"/>
      <w:r w:rsidR="007E6697">
        <w:rPr>
          <w:i/>
          <w:iCs/>
        </w:rPr>
        <w:t xml:space="preserve"> </w:t>
      </w:r>
      <w:proofErr w:type="spellStart"/>
      <w:r w:rsidR="00141D2D">
        <w:rPr>
          <w:i/>
          <w:iCs/>
        </w:rPr>
        <w:t>A</w:t>
      </w:r>
      <w:r w:rsidR="007E6697">
        <w:rPr>
          <w:i/>
          <w:iCs/>
        </w:rPr>
        <w:t>greement</w:t>
      </w:r>
      <w:r w:rsidR="00466AB6">
        <w:rPr>
          <w:i/>
          <w:iCs/>
        </w:rPr>
        <w:t>s</w:t>
      </w:r>
      <w:proofErr w:type="spellEnd"/>
      <w:r w:rsidR="00F27400" w:rsidRPr="00096BBC">
        <w:rPr>
          <w:i/>
          <w:iCs/>
        </w:rPr>
        <w:t>)</w:t>
      </w:r>
      <w:r w:rsidR="00F27400" w:rsidRPr="00096BBC">
        <w:t>.</w:t>
      </w:r>
    </w:p>
    <w:p w14:paraId="599B8F8E" w14:textId="4C2B8791" w:rsidR="00F27400" w:rsidRDefault="00F27400" w:rsidP="005A29C5">
      <w:pP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CFC9254" w14:textId="77777777" w:rsidR="00D31F75" w:rsidRPr="00D35BB6" w:rsidRDefault="00D31F75" w:rsidP="005A29C5">
      <w:pP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9985967" w14:textId="68A4E43C" w:rsidR="000D29B3" w:rsidRPr="00D35BB6" w:rsidRDefault="00185500" w:rsidP="000D29B3">
      <w:pPr>
        <w:jc w:val="both"/>
        <w:rPr>
          <w:color w:val="0066CC"/>
          <w:sz w:val="24"/>
          <w:szCs w:val="24"/>
          <w14:textOutline w14:w="0" w14:cap="flat" w14:cmpd="sng" w14:algn="ctr">
            <w14:noFill/>
            <w14:prstDash w14:val="solid"/>
            <w14:round/>
          </w14:textOutline>
        </w:rPr>
      </w:pPr>
      <w:r w:rsidRPr="00D35BB6">
        <w:rPr>
          <w:color w:val="0066CC"/>
          <w:sz w:val="24"/>
          <w:szCs w:val="24"/>
          <w14:textOutline w14:w="0" w14:cap="flat" w14:cmpd="sng" w14:algn="ctr">
            <w14:noFill/>
            <w14:prstDash w14:val="solid"/>
            <w14:round/>
          </w14:textOutline>
        </w:rPr>
        <w:t>Limitation</w:t>
      </w:r>
      <w:r w:rsidR="00AD4725" w:rsidRPr="00D35BB6">
        <w:rPr>
          <w:color w:val="0066CC"/>
          <w:sz w:val="24"/>
          <w:szCs w:val="24"/>
          <w14:textOutline w14:w="0" w14:cap="flat" w14:cmpd="sng" w14:algn="ctr">
            <w14:noFill/>
            <w14:prstDash w14:val="solid"/>
            <w14:round/>
          </w14:textOutline>
        </w:rPr>
        <w:t xml:space="preserve"> immédiate</w:t>
      </w:r>
      <w:r w:rsidR="005A5E83" w:rsidRPr="00D35BB6">
        <w:rPr>
          <w:color w:val="0066CC"/>
          <w:sz w:val="24"/>
          <w:szCs w:val="24"/>
          <w14:textOutline w14:w="0" w14:cap="flat" w14:cmpd="sng" w14:algn="ctr">
            <w14:noFill/>
            <w14:prstDash w14:val="solid"/>
            <w14:round/>
          </w14:textOutline>
        </w:rPr>
        <w:t xml:space="preserve"> </w:t>
      </w:r>
      <w:r w:rsidR="00756379" w:rsidRPr="00D35BB6">
        <w:rPr>
          <w:color w:val="0066CC"/>
          <w:sz w:val="24"/>
          <w:szCs w:val="24"/>
          <w14:textOutline w14:w="0" w14:cap="flat" w14:cmpd="sng" w14:algn="ctr">
            <w14:noFill/>
            <w14:prstDash w14:val="solid"/>
            <w14:round/>
          </w14:textOutline>
        </w:rPr>
        <w:t xml:space="preserve">du prix du </w:t>
      </w:r>
      <w:r w:rsidR="00A173E4" w:rsidRPr="00D35BB6">
        <w:rPr>
          <w:color w:val="0066CC"/>
          <w:sz w:val="24"/>
          <w:szCs w:val="24"/>
          <w14:textOutline w14:w="0" w14:cap="flat" w14:cmpd="sng" w14:algn="ctr">
            <w14:noFill/>
            <w14:prstDash w14:val="solid"/>
            <w14:round/>
          </w14:textOutline>
        </w:rPr>
        <w:t>(</w:t>
      </w:r>
      <w:r w:rsidR="00756379" w:rsidRPr="00D35BB6">
        <w:rPr>
          <w:color w:val="0066CC"/>
          <w:sz w:val="24"/>
          <w:szCs w:val="24"/>
          <w14:textOutline w14:w="0" w14:cap="flat" w14:cmpd="sng" w14:algn="ctr">
            <w14:noFill/>
            <w14:prstDash w14:val="solid"/>
            <w14:round/>
          </w14:textOutline>
        </w:rPr>
        <w:t>bio</w:t>
      </w:r>
      <w:r w:rsidR="00A173E4" w:rsidRPr="00D35BB6">
        <w:rPr>
          <w:color w:val="0066CC"/>
          <w:sz w:val="24"/>
          <w:szCs w:val="24"/>
          <w14:textOutline w14:w="0" w14:cap="flat" w14:cmpd="sng" w14:algn="ctr">
            <w14:noFill/>
            <w14:prstDash w14:val="solid"/>
            <w14:round/>
          </w14:textOutline>
        </w:rPr>
        <w:t>)</w:t>
      </w:r>
      <w:r w:rsidR="00756379" w:rsidRPr="00D35BB6">
        <w:rPr>
          <w:color w:val="0066CC"/>
          <w:sz w:val="24"/>
          <w:szCs w:val="24"/>
          <w14:textOutline w14:w="0" w14:cap="flat" w14:cmpd="sng" w14:algn="ctr">
            <w14:noFill/>
            <w14:prstDash w14:val="solid"/>
            <w14:round/>
          </w14:textOutline>
        </w:rPr>
        <w:t xml:space="preserve">GNV </w:t>
      </w:r>
      <w:r w:rsidR="00F96ADD" w:rsidRPr="00D35BB6">
        <w:rPr>
          <w:color w:val="0066CC"/>
          <w:sz w:val="24"/>
          <w:szCs w:val="24"/>
          <w14:textOutline w14:w="0" w14:cap="flat" w14:cmpd="sng" w14:algn="ctr">
            <w14:noFill/>
            <w14:prstDash w14:val="solid"/>
            <w14:round/>
          </w14:textOutline>
        </w:rPr>
        <w:t>à la pompe</w:t>
      </w:r>
    </w:p>
    <w:p w14:paraId="6CD5BD7A" w14:textId="77777777" w:rsidR="00855B74" w:rsidRDefault="00A23091" w:rsidP="00D35BB6">
      <w:pPr>
        <w:jc w:val="both"/>
      </w:pPr>
      <w:r>
        <w:t xml:space="preserve">La première mesure </w:t>
      </w:r>
      <w:r w:rsidR="0060285F" w:rsidRPr="0005379B">
        <w:t>proposée vise à</w:t>
      </w:r>
      <w:r w:rsidR="00A73486">
        <w:t xml:space="preserve"> </w:t>
      </w:r>
      <w:r w:rsidR="006C23CF">
        <w:t xml:space="preserve">ce que l’Etat manifeste </w:t>
      </w:r>
      <w:r w:rsidR="00610BC7">
        <w:t>au plus vite</w:t>
      </w:r>
      <w:r w:rsidR="002A0CE7">
        <w:t xml:space="preserve"> par une aide significative</w:t>
      </w:r>
      <w:r w:rsidR="00F20590">
        <w:t xml:space="preserve"> </w:t>
      </w:r>
      <w:r w:rsidR="00524000">
        <w:t xml:space="preserve">son </w:t>
      </w:r>
      <w:r w:rsidR="008A6330">
        <w:t xml:space="preserve">clair </w:t>
      </w:r>
      <w:r w:rsidR="00524000">
        <w:t xml:space="preserve">soutien à la filière </w:t>
      </w:r>
      <w:r w:rsidR="008A6330">
        <w:t xml:space="preserve">dans la conjoncture extrêmement critique qu’elle traverse. </w:t>
      </w:r>
      <w:r w:rsidR="00936060">
        <w:t xml:space="preserve">Il s’agit </w:t>
      </w:r>
      <w:r w:rsidR="0013575B">
        <w:t>de contenir le coût d’exploitation</w:t>
      </w:r>
      <w:r w:rsidR="00210E5B">
        <w:t xml:space="preserve"> des </w:t>
      </w:r>
      <w:r w:rsidR="00F37984">
        <w:t xml:space="preserve">véhicules GNV </w:t>
      </w:r>
      <w:r w:rsidR="00C0000E">
        <w:t xml:space="preserve">devenu </w:t>
      </w:r>
      <w:r w:rsidR="00D96E39">
        <w:t>exorbitant avec l’envolée d</w:t>
      </w:r>
      <w:r w:rsidR="00321997">
        <w:t>es prix du gaz</w:t>
      </w:r>
      <w:r w:rsidR="0060285F" w:rsidRPr="0005379B">
        <w:t xml:space="preserve">. </w:t>
      </w:r>
    </w:p>
    <w:p w14:paraId="3B399489" w14:textId="3FEC71C7" w:rsidR="00B92100" w:rsidRDefault="006D38FC" w:rsidP="00D35BB6">
      <w:pPr>
        <w:jc w:val="both"/>
      </w:pPr>
      <w:r>
        <w:t>L</w:t>
      </w:r>
      <w:r w:rsidR="00AF0FE0">
        <w:t xml:space="preserve">a gravité </w:t>
      </w:r>
      <w:r w:rsidR="00CF43B6">
        <w:t xml:space="preserve">et l’urgence </w:t>
      </w:r>
      <w:r>
        <w:t>de la situatio</w:t>
      </w:r>
      <w:r w:rsidR="00AF0FE0">
        <w:t>n</w:t>
      </w:r>
      <w:r>
        <w:t xml:space="preserve"> </w:t>
      </w:r>
      <w:r w:rsidR="00AF77C5">
        <w:t xml:space="preserve">nous </w:t>
      </w:r>
      <w:r w:rsidR="00AF0FE0">
        <w:t>condui</w:t>
      </w:r>
      <w:r w:rsidR="00CF43B6">
        <w:t>sen</w:t>
      </w:r>
      <w:r w:rsidR="00AF0FE0">
        <w:t xml:space="preserve">t à demander une aide </w:t>
      </w:r>
      <w:r w:rsidR="00284534">
        <w:t>non seulement</w:t>
      </w:r>
      <w:r w:rsidR="00CF43B6">
        <w:t xml:space="preserve"> pour le bioGNV, </w:t>
      </w:r>
      <w:r w:rsidR="0085609B">
        <w:t xml:space="preserve">qui est </w:t>
      </w:r>
      <w:r w:rsidR="00F15EAE">
        <w:t xml:space="preserve">la priorité et l’horizon de notre filière, </w:t>
      </w:r>
      <w:r w:rsidR="00CF43B6">
        <w:t>mais aussi plus largement pour le GNV.</w:t>
      </w:r>
      <w:r w:rsidR="00256F5C">
        <w:br/>
      </w:r>
      <w:r w:rsidR="005E6109">
        <w:t xml:space="preserve">Toutefois, </w:t>
      </w:r>
      <w:r w:rsidR="00506166">
        <w:t xml:space="preserve">l’enjeu </w:t>
      </w:r>
      <w:r w:rsidR="00873621">
        <w:t>ultime</w:t>
      </w:r>
      <w:r w:rsidR="00506166">
        <w:t xml:space="preserve"> de</w:t>
      </w:r>
      <w:r w:rsidR="005E6109">
        <w:t xml:space="preserve"> c</w:t>
      </w:r>
      <w:r w:rsidR="00F63A00">
        <w:t>ette mesure</w:t>
      </w:r>
      <w:r w:rsidR="00452DAD">
        <w:t>,</w:t>
      </w:r>
      <w:r w:rsidR="00F63A00">
        <w:t xml:space="preserve"> </w:t>
      </w:r>
      <w:r w:rsidR="00301E01">
        <w:t xml:space="preserve">destinée à assurer la survie </w:t>
      </w:r>
      <w:r w:rsidR="00827559">
        <w:t xml:space="preserve">à court terme </w:t>
      </w:r>
      <w:r w:rsidR="00301E01">
        <w:t>de notre technologie</w:t>
      </w:r>
      <w:r w:rsidR="00DD086C">
        <w:t>,</w:t>
      </w:r>
      <w:r w:rsidR="00C83EFC">
        <w:t xml:space="preserve"> </w:t>
      </w:r>
      <w:r w:rsidR="005E6109">
        <w:t xml:space="preserve">c’est bien </w:t>
      </w:r>
      <w:r w:rsidR="00506166">
        <w:t>d</w:t>
      </w:r>
      <w:r w:rsidR="00CE6FE4">
        <w:t xml:space="preserve">’éviter un coup d’arrêt fatal </w:t>
      </w:r>
      <w:r w:rsidR="00B11BFC">
        <w:t xml:space="preserve">à </w:t>
      </w:r>
      <w:r w:rsidR="0097694B">
        <w:t xml:space="preserve">la montée en puissance </w:t>
      </w:r>
      <w:r w:rsidR="00861C4E">
        <w:t xml:space="preserve">indispensable </w:t>
      </w:r>
      <w:r w:rsidR="003639BB">
        <w:t xml:space="preserve">du </w:t>
      </w:r>
      <w:r w:rsidR="008B2369" w:rsidRPr="00BE2B80">
        <w:t>bioGNV</w:t>
      </w:r>
      <w:r w:rsidR="007A05F8">
        <w:t xml:space="preserve"> pour</w:t>
      </w:r>
      <w:r w:rsidR="00733A2E">
        <w:t xml:space="preserve"> qu’il</w:t>
      </w:r>
      <w:r w:rsidR="007A05F8">
        <w:t xml:space="preserve"> joue </w:t>
      </w:r>
      <w:r w:rsidR="00861C4E">
        <w:t xml:space="preserve">tout </w:t>
      </w:r>
      <w:r w:rsidR="007A05F8">
        <w:t>son rôle dans la décarbonation du transport lourd.</w:t>
      </w:r>
      <w:r w:rsidR="00A10101">
        <w:t xml:space="preserve"> </w:t>
      </w:r>
    </w:p>
    <w:p w14:paraId="58A5146D" w14:textId="77777777" w:rsidR="008E18AB" w:rsidRDefault="0038458B" w:rsidP="00D35BB6">
      <w:pPr>
        <w:jc w:val="both"/>
      </w:pPr>
      <w:r>
        <w:t>Deux</w:t>
      </w:r>
      <w:r w:rsidR="00D01175" w:rsidRPr="0005379B">
        <w:t xml:space="preserve"> autres mesures structurelles proposées </w:t>
      </w:r>
      <w:r w:rsidR="00A15958">
        <w:t>(</w:t>
      </w:r>
      <w:r w:rsidR="007F4C49">
        <w:t>M</w:t>
      </w:r>
      <w:r w:rsidR="00A15958">
        <w:t>esures #2 et #3)</w:t>
      </w:r>
      <w:r w:rsidR="00EF1476">
        <w:t>,</w:t>
      </w:r>
      <w:r w:rsidR="0060285F" w:rsidRPr="0005379B">
        <w:t xml:space="preserve"> </w:t>
      </w:r>
      <w:r w:rsidR="00EF1476" w:rsidRPr="0005379B">
        <w:t xml:space="preserve">la Trajectoire bas-carbone </w:t>
      </w:r>
      <w:r w:rsidR="00EF1476">
        <w:t xml:space="preserve">et </w:t>
      </w:r>
      <w:r w:rsidR="0060285F" w:rsidRPr="0005379B">
        <w:t xml:space="preserve">la TIRUERT </w:t>
      </w:r>
      <w:r w:rsidR="00A15958">
        <w:t>sont destinées à sécuriser à moyen et long-terme le positionnement du</w:t>
      </w:r>
      <w:r w:rsidR="0060285F" w:rsidRPr="0005379B">
        <w:t xml:space="preserve"> bioGNV </w:t>
      </w:r>
      <w:r w:rsidR="00A15958">
        <w:t>face au</w:t>
      </w:r>
      <w:r w:rsidR="0060285F" w:rsidRPr="0005379B">
        <w:t xml:space="preserve"> gazole, sans </w:t>
      </w:r>
      <w:r w:rsidR="007F4C49">
        <w:t>sur</w:t>
      </w:r>
      <w:r w:rsidR="0060285F" w:rsidRPr="0005379B">
        <w:t xml:space="preserve">coût pour l’Etat. </w:t>
      </w:r>
    </w:p>
    <w:p w14:paraId="258E58DE" w14:textId="35081883" w:rsidR="0060285F" w:rsidRDefault="00A15958" w:rsidP="00F3304A">
      <w:pPr>
        <w:jc w:val="both"/>
      </w:pPr>
      <w:r>
        <w:t>Toutefois leurs premiers effets ne se matérialiseraient qu’à partir de 2025</w:t>
      </w:r>
      <w:r w:rsidR="0060285F" w:rsidRPr="0005379B">
        <w:t xml:space="preserve">, c’est pourquoi </w:t>
      </w:r>
      <w:r w:rsidR="004C6F18">
        <w:t>l</w:t>
      </w:r>
      <w:r w:rsidR="0060285F" w:rsidRPr="0005379B">
        <w:t xml:space="preserve">e mécanisme </w:t>
      </w:r>
      <w:r w:rsidR="004C6F18">
        <w:t>proposé</w:t>
      </w:r>
      <w:r w:rsidR="002C52BC">
        <w:t xml:space="preserve"> </w:t>
      </w:r>
      <w:r w:rsidR="00550726">
        <w:t xml:space="preserve">est </w:t>
      </w:r>
      <w:r w:rsidR="004C6F18">
        <w:t xml:space="preserve">indispensable pour </w:t>
      </w:r>
      <w:r w:rsidR="00A742C8">
        <w:t xml:space="preserve">donner de la visibilité aux </w:t>
      </w:r>
      <w:r w:rsidR="00550726">
        <w:t>transporteurs</w:t>
      </w:r>
      <w:r w:rsidR="00A742C8">
        <w:t xml:space="preserve"> sur le coût d’exploitation de leurs </w:t>
      </w:r>
      <w:r w:rsidR="00E83236">
        <w:t xml:space="preserve">flottes </w:t>
      </w:r>
      <w:r w:rsidR="000D7B73">
        <w:t>de véhicules et permettre aux distributeurs de GNV</w:t>
      </w:r>
      <w:r w:rsidR="005E6503">
        <w:t>-</w:t>
      </w:r>
      <w:r w:rsidR="005766E5">
        <w:t>bioGNV</w:t>
      </w:r>
      <w:r w:rsidR="000D7B73">
        <w:t xml:space="preserve"> de </w:t>
      </w:r>
      <w:r w:rsidR="00966C0B">
        <w:t>garder leurs stations en opération.</w:t>
      </w:r>
      <w:r w:rsidR="000D29B3">
        <w:t xml:space="preserve"> </w:t>
      </w:r>
      <w:r w:rsidR="007966A7">
        <w:t>(</w:t>
      </w:r>
      <w:r w:rsidR="00A04872">
        <w:t>Notons, par parenthèse,</w:t>
      </w:r>
      <w:r w:rsidR="006970FC">
        <w:t xml:space="preserve"> que le destin de la filière </w:t>
      </w:r>
      <w:r w:rsidR="00CE4D11">
        <w:t xml:space="preserve">pour le transport routier </w:t>
      </w:r>
      <w:r w:rsidR="0023161A">
        <w:t xml:space="preserve">engage celui </w:t>
      </w:r>
      <w:r w:rsidR="00882C96">
        <w:t>du GNV-</w:t>
      </w:r>
      <w:r w:rsidR="00FE3B7D">
        <w:t xml:space="preserve">bioGNV sur </w:t>
      </w:r>
      <w:r w:rsidR="0023161A">
        <w:t xml:space="preserve">d’autres segments </w:t>
      </w:r>
      <w:r w:rsidR="008A6E65">
        <w:t xml:space="preserve">comme le transport fluvial dans lequel des projets </w:t>
      </w:r>
      <w:r w:rsidR="00296660">
        <w:t>ne demandent qu’à sur</w:t>
      </w:r>
      <w:r w:rsidR="00FE3B7D">
        <w:t>gir</w:t>
      </w:r>
      <w:r w:rsidR="00397FF1">
        <w:t xml:space="preserve">, mais risquent d’être tués dans l’œuf par la situation </w:t>
      </w:r>
      <w:r w:rsidR="00C9750B">
        <w:t>actuelle et le manque de visibilité.</w:t>
      </w:r>
      <w:r w:rsidR="007966A7">
        <w:t>)</w:t>
      </w:r>
      <w:r w:rsidR="00C9750B">
        <w:t xml:space="preserve"> </w:t>
      </w:r>
    </w:p>
    <w:p w14:paraId="4F8C5068" w14:textId="06B2EC1C" w:rsidR="000D29B3" w:rsidRDefault="000D29B3" w:rsidP="000D29B3">
      <w:pPr>
        <w:jc w:val="both"/>
      </w:pPr>
    </w:p>
    <w:p w14:paraId="1918ABD7" w14:textId="62851D63" w:rsidR="00D31F75" w:rsidRDefault="00D31F75" w:rsidP="000D29B3">
      <w:pPr>
        <w:jc w:val="both"/>
      </w:pPr>
    </w:p>
    <w:p w14:paraId="27C54757" w14:textId="564EAF6B" w:rsidR="00D31F75" w:rsidRDefault="00D31F75" w:rsidP="000D29B3">
      <w:pPr>
        <w:jc w:val="both"/>
      </w:pPr>
    </w:p>
    <w:p w14:paraId="23AC7B68" w14:textId="2B070EF6" w:rsidR="00D31F75" w:rsidRDefault="00D31F75" w:rsidP="000D29B3">
      <w:pPr>
        <w:jc w:val="both"/>
      </w:pPr>
    </w:p>
    <w:p w14:paraId="0E7032E4" w14:textId="6F5E6358" w:rsidR="00E00ABB" w:rsidRPr="00D35BB6" w:rsidRDefault="00E00ABB" w:rsidP="00E00ABB">
      <w:pPr>
        <w:rPr>
          <w:color w:val="0066CC"/>
          <w:sz w:val="24"/>
          <w:szCs w:val="24"/>
          <w14:textOutline w14:w="0" w14:cap="flat" w14:cmpd="sng" w14:algn="ctr">
            <w14:noFill/>
            <w14:prstDash w14:val="solid"/>
            <w14:round/>
          </w14:textOutline>
        </w:rPr>
      </w:pPr>
      <w:r w:rsidRPr="00D35BB6">
        <w:rPr>
          <w:color w:val="0066CC"/>
          <w:sz w:val="24"/>
          <w:szCs w:val="24"/>
          <w14:textOutline w14:w="0" w14:cap="flat" w14:cmpd="sng" w14:algn="ctr">
            <w14:noFill/>
            <w14:prstDash w14:val="solid"/>
            <w14:round/>
          </w14:textOutline>
        </w:rPr>
        <w:lastRenderedPageBreak/>
        <w:t>Subvention à l’achat d’un véhicule lourd GNV-bioGNV</w:t>
      </w:r>
    </w:p>
    <w:p w14:paraId="015D096F" w14:textId="12A13142" w:rsidR="00E00ABB" w:rsidRDefault="00E00ABB" w:rsidP="00D35BB6">
      <w:pPr>
        <w:jc w:val="both"/>
      </w:pPr>
      <w:r>
        <w:t>Cette mesure consiste en</w:t>
      </w:r>
      <w:r w:rsidRPr="0005379B">
        <w:t xml:space="preserve"> une subvention à l’achat d’un camion GNV-bioGNV neuf. Il s’agi</w:t>
      </w:r>
      <w:r>
        <w:t>t</w:t>
      </w:r>
      <w:r w:rsidRPr="0005379B">
        <w:t xml:space="preserve"> d’une subvention de ~20k€ en moyenne (</w:t>
      </w:r>
      <w:r w:rsidRPr="0005379B">
        <w:rPr>
          <w:i/>
          <w:iCs/>
        </w:rPr>
        <w:t>à différencier selon le type de camion</w:t>
      </w:r>
      <w:r w:rsidRPr="0005379B">
        <w:t>). Malgré le coût pour l’Etat (</w:t>
      </w:r>
      <w:r w:rsidRPr="0005379B">
        <w:rPr>
          <w:i/>
          <w:iCs/>
        </w:rPr>
        <w:t>qui serait de ~100 M€ en 2023 et ~130 M€ en 2024 si le plan filière est atteint</w:t>
      </w:r>
      <w:r w:rsidRPr="0005379B">
        <w:t xml:space="preserve">), cette mesure </w:t>
      </w:r>
      <w:r>
        <w:t xml:space="preserve">est </w:t>
      </w:r>
      <w:r w:rsidRPr="0005379B">
        <w:t>légitime au regard des subventions existantes pour l’achat des véhicules électriques (</w:t>
      </w:r>
      <w:r w:rsidRPr="0005379B">
        <w:rPr>
          <w:i/>
          <w:iCs/>
        </w:rPr>
        <w:t>jusqu’à 150k€</w:t>
      </w:r>
      <w:r w:rsidRPr="0005379B">
        <w:t>) : cette subvention permettra</w:t>
      </w:r>
      <w:r>
        <w:t>it</w:t>
      </w:r>
      <w:r w:rsidRPr="0005379B">
        <w:t xml:space="preserve"> de financer l’achat de 7,5 fois plus de camions GNV-bioGNV que de camions électriques avec la même enveloppe </w:t>
      </w:r>
      <w:r w:rsidRPr="0005379B">
        <w:rPr>
          <w:i/>
          <w:iCs/>
        </w:rPr>
        <w:t>(150 k€/20 k€)</w:t>
      </w:r>
      <w:r w:rsidRPr="0005379B">
        <w:t>.</w:t>
      </w:r>
      <w:r w:rsidR="000D29B3">
        <w:t xml:space="preserve"> </w:t>
      </w:r>
      <w:r>
        <w:t>Cette mesure viendrait en complément de mesures existantes (suramortissement), ou déjà discutées (prêt à taux zéro).</w:t>
      </w:r>
    </w:p>
    <w:p w14:paraId="16D6AC12" w14:textId="010572C3" w:rsidR="008E18AB" w:rsidRDefault="008E18AB" w:rsidP="008E18AB">
      <w:pPr>
        <w:ind w:firstLine="708"/>
        <w:jc w:val="both"/>
      </w:pPr>
    </w:p>
    <w:p w14:paraId="4910557E" w14:textId="77777777" w:rsidR="00D31F75" w:rsidRPr="0005379B" w:rsidRDefault="00D31F75" w:rsidP="00D35BB6">
      <w:pPr>
        <w:ind w:firstLine="708"/>
        <w:jc w:val="both"/>
      </w:pPr>
    </w:p>
    <w:p w14:paraId="6A29C9F9" w14:textId="3FFF6804" w:rsidR="009F5496" w:rsidRPr="00D35BB6" w:rsidRDefault="00A42F3D">
      <w:pPr>
        <w:rPr>
          <w:bCs/>
          <w:color w:val="0066CC"/>
          <w:sz w:val="24"/>
          <w:szCs w:val="24"/>
          <w:u w:val="single"/>
          <w14:textOutline w14:w="0" w14:cap="flat" w14:cmpd="sng" w14:algn="ctr">
            <w14:noFill/>
            <w14:prstDash w14:val="solid"/>
            <w14:round/>
          </w14:textOutline>
        </w:rPr>
      </w:pPr>
      <w:r w:rsidRPr="00D35BB6">
        <w:rPr>
          <w:color w:val="0066CC"/>
          <w:sz w:val="24"/>
          <w:szCs w:val="24"/>
          <w14:textOutline w14:w="0" w14:cap="flat" w14:cmpd="sng" w14:algn="ctr">
            <w14:noFill/>
            <w14:prstDash w14:val="solid"/>
            <w14:round/>
          </w14:textOutline>
        </w:rPr>
        <w:t>Intégr</w:t>
      </w:r>
      <w:r w:rsidR="00E00ABB" w:rsidRPr="00D35BB6">
        <w:rPr>
          <w:color w:val="0066CC"/>
          <w:sz w:val="24"/>
          <w:szCs w:val="24"/>
          <w14:textOutline w14:w="0" w14:cap="flat" w14:cmpd="sng" w14:algn="ctr">
            <w14:noFill/>
            <w14:prstDash w14:val="solid"/>
            <w14:round/>
          </w14:textOutline>
        </w:rPr>
        <w:t>ation du</w:t>
      </w:r>
      <w:r w:rsidRPr="00D35BB6">
        <w:rPr>
          <w:color w:val="0066CC"/>
          <w:sz w:val="24"/>
          <w:szCs w:val="24"/>
          <w14:textOutline w14:w="0" w14:cap="flat" w14:cmpd="sng" w14:algn="ctr">
            <w14:noFill/>
            <w14:prstDash w14:val="solid"/>
            <w14:round/>
          </w14:textOutline>
        </w:rPr>
        <w:t xml:space="preserve"> bioGNV à la </w:t>
      </w:r>
      <w:r w:rsidR="009F5496" w:rsidRPr="00D35BB6">
        <w:rPr>
          <w:color w:val="0066CC"/>
          <w:sz w:val="24"/>
          <w:szCs w:val="24"/>
          <w14:textOutline w14:w="0" w14:cap="flat" w14:cmpd="sng" w14:algn="ctr">
            <w14:noFill/>
            <w14:prstDash w14:val="solid"/>
            <w14:round/>
          </w14:textOutline>
        </w:rPr>
        <w:t xml:space="preserve">TIRUERT </w:t>
      </w:r>
      <w:r w:rsidRPr="00D35BB6">
        <w:rPr>
          <w:color w:val="0066CC"/>
          <w:sz w:val="24"/>
          <w:szCs w:val="24"/>
          <w14:textOutline w14:w="0" w14:cap="flat" w14:cmpd="sng" w14:algn="ctr">
            <w14:noFill/>
            <w14:prstDash w14:val="solid"/>
            <w14:round/>
          </w14:textOutline>
        </w:rPr>
        <w:t>au même titre que l’électricité et l’hydrogène</w:t>
      </w:r>
    </w:p>
    <w:p w14:paraId="2BD947B4" w14:textId="33655E1C" w:rsidR="00BB5835" w:rsidRPr="0005379B" w:rsidRDefault="003B4EA8" w:rsidP="00D35BB6">
      <w:pPr>
        <w:jc w:val="both"/>
      </w:pPr>
      <w:r w:rsidRPr="0005379B">
        <w:t xml:space="preserve">La mesure proposée </w:t>
      </w:r>
      <w:r w:rsidR="00BB5835" w:rsidRPr="0005379B">
        <w:t xml:space="preserve">consiste à permettre aux stations </w:t>
      </w:r>
      <w:r w:rsidR="00631DED" w:rsidRPr="0005379B">
        <w:t xml:space="preserve">commercialisant du bioGNV </w:t>
      </w:r>
      <w:r w:rsidR="00BB5835" w:rsidRPr="0005379B">
        <w:t>de générer des crédits TIRUERT.</w:t>
      </w:r>
    </w:p>
    <w:p w14:paraId="1E7856A7" w14:textId="4CEB7862" w:rsidR="008E18AB" w:rsidRDefault="00BB5835" w:rsidP="008E18AB">
      <w:pPr>
        <w:spacing w:after="0"/>
        <w:jc w:val="both"/>
        <w:rPr>
          <w:i/>
          <w:iCs/>
        </w:rPr>
      </w:pPr>
      <w:r w:rsidRPr="0005379B">
        <w:t xml:space="preserve">Aujourd’hui, une station qui commercialise de l’essence et du gazole </w:t>
      </w:r>
      <w:r w:rsidR="007434EE" w:rsidRPr="0005379B">
        <w:t>a</w:t>
      </w:r>
      <w:r w:rsidRPr="0005379B">
        <w:t xml:space="preserve"> l’obligation d’incorporer un pourcentage </w:t>
      </w:r>
      <w:r w:rsidR="00230099">
        <w:t xml:space="preserve">minimal </w:t>
      </w:r>
      <w:r w:rsidRPr="0005379B">
        <w:t>de biocarburants liquides</w:t>
      </w:r>
      <w:r w:rsidR="008E18AB">
        <w:t xml:space="preserve"> : </w:t>
      </w:r>
      <w:r w:rsidR="008E18AB" w:rsidRPr="00D35BB6">
        <w:rPr>
          <w:i/>
          <w:iCs/>
        </w:rPr>
        <w:t>(Ce taux augmente chaque année)</w:t>
      </w:r>
    </w:p>
    <w:p w14:paraId="7B856D1C" w14:textId="77777777" w:rsidR="008E18AB" w:rsidRPr="00D35BB6" w:rsidRDefault="008E18AB" w:rsidP="00D35BB6">
      <w:pPr>
        <w:spacing w:after="0"/>
        <w:jc w:val="both"/>
        <w:rPr>
          <w:i/>
          <w:iCs/>
          <w:sz w:val="4"/>
          <w:szCs w:val="4"/>
        </w:rPr>
      </w:pPr>
    </w:p>
    <w:p w14:paraId="3A8BC756" w14:textId="0076256A" w:rsidR="008E18AB" w:rsidRDefault="00BB5835" w:rsidP="00F3304A">
      <w:pPr>
        <w:pStyle w:val="Paragraphedeliste"/>
        <w:numPr>
          <w:ilvl w:val="0"/>
          <w:numId w:val="48"/>
        </w:numPr>
        <w:jc w:val="both"/>
      </w:pPr>
      <w:proofErr w:type="gramStart"/>
      <w:r w:rsidRPr="00230099">
        <w:t>en</w:t>
      </w:r>
      <w:proofErr w:type="gramEnd"/>
      <w:r w:rsidRPr="00230099">
        <w:t xml:space="preserve"> 2022 : 9,2% pour l’essence </w:t>
      </w:r>
    </w:p>
    <w:p w14:paraId="67BBB5D2" w14:textId="662827CD" w:rsidR="008E18AB" w:rsidRDefault="00BB5835" w:rsidP="008E18AB">
      <w:pPr>
        <w:pStyle w:val="Paragraphedeliste"/>
        <w:numPr>
          <w:ilvl w:val="0"/>
          <w:numId w:val="48"/>
        </w:numPr>
        <w:jc w:val="both"/>
      </w:pPr>
      <w:r w:rsidRPr="00230099">
        <w:t>8,4% pour le gazole)</w:t>
      </w:r>
    </w:p>
    <w:p w14:paraId="1EF7BC4D" w14:textId="77777777" w:rsidR="008E18AB" w:rsidRDefault="008E18AB" w:rsidP="008E18AB">
      <w:pPr>
        <w:jc w:val="both"/>
      </w:pPr>
    </w:p>
    <w:p w14:paraId="212E118F" w14:textId="67DE75B8" w:rsidR="008F4BB9" w:rsidRPr="0005379B" w:rsidRDefault="00BB5835" w:rsidP="00D35BB6">
      <w:pPr>
        <w:jc w:val="both"/>
      </w:pPr>
      <w:r w:rsidRPr="0005379B">
        <w:t xml:space="preserve">La commercialisation de biocarburants liquides génère des crédits TIRUERT </w:t>
      </w:r>
      <w:r w:rsidR="00230099">
        <w:t>pour les opérateurs de</w:t>
      </w:r>
      <w:r w:rsidRPr="0005379B">
        <w:t xml:space="preserve"> stations, leur évit</w:t>
      </w:r>
      <w:r w:rsidR="00230099">
        <w:t>ant ainsi</w:t>
      </w:r>
      <w:r w:rsidRPr="0005379B">
        <w:t xml:space="preserve"> de payer une pénalité élevée. A partir de 2023, la vente d’électricité ou d’hydrogène génèrera également des crédits TIRUERT. Le bioGNV n’est à date pas concerné par la mesure.</w:t>
      </w:r>
    </w:p>
    <w:p w14:paraId="78F318B3" w14:textId="06DE35D8" w:rsidR="008F4BB9" w:rsidRPr="0005379B" w:rsidRDefault="00BB5835" w:rsidP="00D35BB6">
      <w:pPr>
        <w:jc w:val="both"/>
      </w:pPr>
      <w:r w:rsidRPr="0005379B">
        <w:t xml:space="preserve">L’objectif est </w:t>
      </w:r>
      <w:r w:rsidR="008F4BB9" w:rsidRPr="0005379B">
        <w:t>d’intégrer le bioGNV à la TIRUERT, au même titre que l’électri</w:t>
      </w:r>
      <w:r w:rsidR="00494CA2">
        <w:t>cité</w:t>
      </w:r>
      <w:r w:rsidR="008F4BB9" w:rsidRPr="0005379B">
        <w:t xml:space="preserve"> et l’hydrogène</w:t>
      </w:r>
      <w:r w:rsidRPr="0005379B">
        <w:t>.</w:t>
      </w:r>
    </w:p>
    <w:p w14:paraId="6ED668C7" w14:textId="467CDA75" w:rsidR="008F4BB9" w:rsidRPr="0005379B" w:rsidRDefault="00BB5835" w:rsidP="00D35BB6">
      <w:pPr>
        <w:jc w:val="both"/>
      </w:pPr>
      <w:r w:rsidRPr="0005379B">
        <w:t xml:space="preserve">Lorsque le taux d’incorporation de biocarburants imposé par la TIRUERT sera suffisamment élevé, les stations qui commercialisent de l’essence et du gazole auront </w:t>
      </w:r>
      <w:r w:rsidR="00D54E07" w:rsidRPr="0005379B">
        <w:t xml:space="preserve">alors </w:t>
      </w:r>
      <w:r w:rsidRPr="0005379B">
        <w:t>une incitation à acheter du bioGNV même si celui-ci est plus cher que le gazole</w:t>
      </w:r>
      <w:r w:rsidR="008F4BB9" w:rsidRPr="0005379B">
        <w:t xml:space="preserve">, car cela leur génèrera des crédits TIRUERT et donc leur évitera de payer la pénalité </w:t>
      </w:r>
      <w:r w:rsidR="00DA024C">
        <w:t>associée</w:t>
      </w:r>
      <w:r w:rsidR="008F4BB9" w:rsidRPr="0005379B">
        <w:t>.</w:t>
      </w:r>
    </w:p>
    <w:p w14:paraId="2E32340B" w14:textId="429BBC6C" w:rsidR="00BB5835" w:rsidRPr="0005379B" w:rsidRDefault="00796D49" w:rsidP="00D35BB6">
      <w:pPr>
        <w:jc w:val="both"/>
      </w:pPr>
      <w:r>
        <w:t>Les</w:t>
      </w:r>
      <w:r w:rsidR="00BB5835" w:rsidRPr="0005379B">
        <w:t xml:space="preserve"> stations qui ne commercialisent que du bioGNV</w:t>
      </w:r>
      <w:r w:rsidR="00792A89">
        <w:t xml:space="preserve"> </w:t>
      </w:r>
      <w:r w:rsidR="00BB5835" w:rsidRPr="0005379B">
        <w:t>ne sont pas soumises à la TIRUERT mais la commercialisation de bioGNV leur génère</w:t>
      </w:r>
      <w:r w:rsidR="00977463" w:rsidRPr="0005379B">
        <w:t>ra</w:t>
      </w:r>
      <w:r w:rsidR="00BB5835" w:rsidRPr="0005379B">
        <w:t xml:space="preserve"> des crédits TIRUERT qu’elles </w:t>
      </w:r>
      <w:r w:rsidR="00A708F1" w:rsidRPr="0005379B">
        <w:t>pourront</w:t>
      </w:r>
      <w:r w:rsidR="00BB5835" w:rsidRPr="0005379B">
        <w:t xml:space="preserve"> revendre aux stations qui commercialisent de l’essence et du gazole afin qu’elles remplissent leur</w:t>
      </w:r>
      <w:r w:rsidR="00977463" w:rsidRPr="0005379B">
        <w:t>s</w:t>
      </w:r>
      <w:r w:rsidR="00BB5835" w:rsidRPr="0005379B">
        <w:t xml:space="preserve"> obligation</w:t>
      </w:r>
      <w:r w:rsidR="00977463" w:rsidRPr="0005379B">
        <w:t>s</w:t>
      </w:r>
      <w:r w:rsidR="00BB5835" w:rsidRPr="0005379B">
        <w:t xml:space="preserve"> TIRUERT.</w:t>
      </w:r>
      <w:r w:rsidR="00C53EAB" w:rsidRPr="0005379B">
        <w:t xml:space="preserve"> Ce revenu complémentaire leur permettra de commercialiser du bioGNV </w:t>
      </w:r>
      <w:r w:rsidR="00DA024C">
        <w:t>à des prix plus compétitifs.</w:t>
      </w:r>
    </w:p>
    <w:p w14:paraId="7FD7AA43" w14:textId="08734628" w:rsidR="00790233" w:rsidRDefault="0002683D" w:rsidP="00D35BB6">
      <w:pPr>
        <w:jc w:val="both"/>
      </w:pPr>
      <w:r>
        <w:t>Cette mesure</w:t>
      </w:r>
      <w:r w:rsidR="00C53EAB" w:rsidRPr="0005379B">
        <w:t xml:space="preserve"> permet de développer le bioGNV sans surcoût pour l’Etat.</w:t>
      </w:r>
      <w:r w:rsidR="00342352">
        <w:t xml:space="preserve"> Au contraire, en permettant aux stations essence et diesel d</w:t>
      </w:r>
      <w:r w:rsidR="00460DD0">
        <w:t>’</w:t>
      </w:r>
      <w:r w:rsidR="00342352">
        <w:t>utiliser du bioGNV plutôt que des carburants liquides renouvelables avancés plus chers, cette mesure renforce la compétition entre carburants avancés, et permet de faire baisser les coûts pour l’automobiliste.</w:t>
      </w:r>
    </w:p>
    <w:p w14:paraId="1EC7A1EA" w14:textId="5C5709EE" w:rsidR="008E18AB" w:rsidRDefault="008E18AB" w:rsidP="00EE6F95">
      <w:pPr>
        <w:rPr>
          <w:bCs/>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1CA9E24" w14:textId="55218D2A" w:rsidR="00D31F75" w:rsidRDefault="00D31F75" w:rsidP="00EE6F95">
      <w:pPr>
        <w:rPr>
          <w:bCs/>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331660C" w14:textId="77777777" w:rsidR="00D31F75" w:rsidRDefault="00D31F75" w:rsidP="00EE6F95">
      <w:pPr>
        <w:rPr>
          <w:bCs/>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933B505" w14:textId="1A5089EA" w:rsidR="003F4ADF" w:rsidRPr="00D35BB6" w:rsidRDefault="00672684" w:rsidP="00EE6F95">
      <w:pPr>
        <w:rPr>
          <w:color w:val="0066CC"/>
          <w:sz w:val="24"/>
          <w:szCs w:val="24"/>
          <w14:textOutline w14:w="0" w14:cap="flat" w14:cmpd="sng" w14:algn="ctr">
            <w14:noFill/>
            <w14:prstDash w14:val="solid"/>
            <w14:round/>
          </w14:textOutline>
        </w:rPr>
      </w:pPr>
      <w:r w:rsidRPr="00D35BB6">
        <w:rPr>
          <w:color w:val="0066CC"/>
          <w:sz w:val="24"/>
          <w:szCs w:val="24"/>
          <w14:textOutline w14:w="0" w14:cap="flat" w14:cmpd="sng" w14:algn="ctr">
            <w14:noFill/>
            <w14:prstDash w14:val="solid"/>
            <w14:round/>
          </w14:textOutline>
        </w:rPr>
        <w:lastRenderedPageBreak/>
        <w:t xml:space="preserve">Aide à l’émergence des BPA </w:t>
      </w:r>
    </w:p>
    <w:p w14:paraId="7C9088F8" w14:textId="29D24F0F" w:rsidR="000D29B3" w:rsidRDefault="00761590" w:rsidP="000D29B3">
      <w:pPr>
        <w:pStyle w:val="xmsonormal"/>
        <w:spacing w:after="0"/>
        <w:jc w:val="both"/>
      </w:pPr>
      <w:r>
        <w:t>L’AFGNV milite pour favoriser l’émergence de BPA (</w:t>
      </w:r>
      <w:proofErr w:type="spellStart"/>
      <w:r>
        <w:rPr>
          <w:i/>
          <w:iCs/>
        </w:rPr>
        <w:t>Biomethane</w:t>
      </w:r>
      <w:proofErr w:type="spellEnd"/>
      <w:r>
        <w:rPr>
          <w:i/>
          <w:iCs/>
        </w:rPr>
        <w:t xml:space="preserve"> </w:t>
      </w:r>
      <w:proofErr w:type="spellStart"/>
      <w:r>
        <w:rPr>
          <w:i/>
          <w:iCs/>
        </w:rPr>
        <w:t>Purchase</w:t>
      </w:r>
      <w:proofErr w:type="spellEnd"/>
      <w:r>
        <w:rPr>
          <w:i/>
          <w:iCs/>
        </w:rPr>
        <w:t xml:space="preserve"> </w:t>
      </w:r>
      <w:proofErr w:type="spellStart"/>
      <w:r>
        <w:rPr>
          <w:i/>
          <w:iCs/>
        </w:rPr>
        <w:t>Agreements</w:t>
      </w:r>
      <w:proofErr w:type="spellEnd"/>
      <w:r>
        <w:t>).</w:t>
      </w:r>
      <w:r w:rsidR="000D29B3">
        <w:t xml:space="preserve"> </w:t>
      </w:r>
      <w:r>
        <w:t xml:space="preserve">Vu le contexte de crise actuel, la filière (bio)GNV n’est pas aujourd’hui en mesure de s’engager sur des contrats de type BPA sur des durées suffisamment longues pour </w:t>
      </w:r>
      <w:r w:rsidR="00DD607C">
        <w:t xml:space="preserve">permettre </w:t>
      </w:r>
      <w:r>
        <w:t xml:space="preserve">des investissements dans de nouvelles unités de biométhane. </w:t>
      </w:r>
    </w:p>
    <w:p w14:paraId="27ED2E4E" w14:textId="042FB477" w:rsidR="000D29B3" w:rsidRDefault="00761590" w:rsidP="000D29B3">
      <w:pPr>
        <w:pStyle w:val="xmsonormal"/>
        <w:spacing w:after="0"/>
        <w:jc w:val="both"/>
      </w:pPr>
      <w:r>
        <w:t>Mais il est urgent de démontrer que des producteurs et des acheteurs de biométhane puissent s’entendre, de gré à gré, sur un prix et préparer ainsi l’émergence, dès la sortie de crise, de BPA longs (par exemple 15 ans), aptes à soutenir le financement de nouveaux méthaniseurs.</w:t>
      </w:r>
    </w:p>
    <w:p w14:paraId="700865D0" w14:textId="77777777" w:rsidR="000D29B3" w:rsidRDefault="000D29B3" w:rsidP="000D29B3">
      <w:pPr>
        <w:pStyle w:val="xmsonormal"/>
        <w:spacing w:after="0"/>
        <w:jc w:val="both"/>
      </w:pPr>
    </w:p>
    <w:p w14:paraId="52BF145B" w14:textId="6B9B418E" w:rsidR="00761590" w:rsidRDefault="00761590" w:rsidP="000D29B3">
      <w:pPr>
        <w:pStyle w:val="xmsonormal"/>
        <w:spacing w:after="0"/>
        <w:jc w:val="both"/>
      </w:pPr>
      <w:r>
        <w:t xml:space="preserve">C’est pourquoi l’AFGNV propose de permettre des BPA « courts », afin d’aider la filière (bio)GNV à passer cette crise, tout en préparant un cadre plus pérenne. </w:t>
      </w:r>
    </w:p>
    <w:p w14:paraId="3E2EE397" w14:textId="77777777" w:rsidR="008E18AB" w:rsidRDefault="008E18AB" w:rsidP="00D35BB6">
      <w:pPr>
        <w:pStyle w:val="xmsonormal"/>
        <w:spacing w:after="0"/>
        <w:jc w:val="both"/>
      </w:pPr>
    </w:p>
    <w:p w14:paraId="077CC5EC" w14:textId="27DDED33" w:rsidR="00761590" w:rsidRDefault="00761590" w:rsidP="000D29B3">
      <w:pPr>
        <w:pStyle w:val="xmsonormal"/>
        <w:spacing w:after="0"/>
        <w:jc w:val="both"/>
      </w:pPr>
      <w:r>
        <w:t xml:space="preserve">Ainsi, </w:t>
      </w:r>
      <w:r w:rsidRPr="00C33D8C">
        <w:t>pour une période définie de quelques années maximum, des fournisseurs de bioGNV pourraient négocier avec des producteurs existants de biométhane tout ou partie de leur production actuellement au tarif</w:t>
      </w:r>
      <w:r>
        <w:t>. Ce dispositif ferait émerger un prix d’échange intermédiaire entre le tarif de rachat et le PEG, pour des quantités de biométhane fléchées « à usage carburant ». Ce qui accélérerait le développement de la part du bioGNV dans le gaz carburant, limiterait les prix actuels exorbitants pour les consommateurs et manifesterait l’intérêt de l’Etat pour la filière.</w:t>
      </w:r>
    </w:p>
    <w:p w14:paraId="07E19319" w14:textId="77777777" w:rsidR="008E18AB" w:rsidRDefault="008E18AB" w:rsidP="00D35BB6">
      <w:pPr>
        <w:pStyle w:val="xmsonormal"/>
        <w:spacing w:after="0"/>
        <w:jc w:val="both"/>
      </w:pPr>
    </w:p>
    <w:p w14:paraId="44B07DC5" w14:textId="352AEDAE" w:rsidR="0050600F" w:rsidRPr="00AC42D6" w:rsidRDefault="00761590" w:rsidP="00D35BB6">
      <w:pPr>
        <w:pStyle w:val="xmsonormal"/>
        <w:spacing w:after="0"/>
        <w:jc w:val="both"/>
      </w:pPr>
      <w:r>
        <w:t xml:space="preserve">Pour que les producteurs soient intéressés à signer de tels contrats, il serait nécessaire de les exonérer de pénalités de sortie du tarif, et de leur permettre de revenir au tarif si </w:t>
      </w:r>
      <w:proofErr w:type="gramStart"/>
      <w:r>
        <w:t>la période de 15 ans court</w:t>
      </w:r>
      <w:proofErr w:type="gramEnd"/>
      <w:r>
        <w:t xml:space="preserve"> encore à l’issue du BPA « court ».</w:t>
      </w:r>
    </w:p>
    <w:sectPr w:rsidR="0050600F" w:rsidRPr="00AC42D6">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060F" w14:textId="77777777" w:rsidR="003128A3" w:rsidRDefault="003128A3" w:rsidP="0067490B">
      <w:pPr>
        <w:spacing w:after="0" w:line="240" w:lineRule="auto"/>
      </w:pPr>
      <w:r>
        <w:separator/>
      </w:r>
    </w:p>
  </w:endnote>
  <w:endnote w:type="continuationSeparator" w:id="0">
    <w:p w14:paraId="2710FC26" w14:textId="77777777" w:rsidR="003128A3" w:rsidRDefault="003128A3" w:rsidP="0067490B">
      <w:pPr>
        <w:spacing w:after="0" w:line="240" w:lineRule="auto"/>
      </w:pPr>
      <w:r>
        <w:continuationSeparator/>
      </w:r>
    </w:p>
  </w:endnote>
  <w:endnote w:type="continuationNotice" w:id="1">
    <w:p w14:paraId="694824BE" w14:textId="77777777" w:rsidR="003128A3" w:rsidRDefault="003128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823242"/>
      <w:docPartObj>
        <w:docPartGallery w:val="Page Numbers (Bottom of Page)"/>
        <w:docPartUnique/>
      </w:docPartObj>
    </w:sdtPr>
    <w:sdtEndPr/>
    <w:sdtContent>
      <w:p w14:paraId="23AA4AB5" w14:textId="520180EC" w:rsidR="00833CA6" w:rsidRDefault="00833CA6">
        <w:pPr>
          <w:pStyle w:val="Pieddepage"/>
          <w:jc w:val="right"/>
        </w:pPr>
        <w:r>
          <w:fldChar w:fldCharType="begin"/>
        </w:r>
        <w:r>
          <w:instrText>PAGE   \* MERGEFORMAT</w:instrText>
        </w:r>
        <w:r>
          <w:fldChar w:fldCharType="separate"/>
        </w:r>
        <w:r>
          <w:t>2</w:t>
        </w:r>
        <w:r>
          <w:fldChar w:fldCharType="end"/>
        </w:r>
      </w:p>
    </w:sdtContent>
  </w:sdt>
  <w:p w14:paraId="2017D795" w14:textId="77777777" w:rsidR="00833CA6" w:rsidRDefault="00833C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B8CC" w14:textId="77777777" w:rsidR="003128A3" w:rsidRDefault="003128A3" w:rsidP="0067490B">
      <w:pPr>
        <w:spacing w:after="0" w:line="240" w:lineRule="auto"/>
      </w:pPr>
      <w:r>
        <w:separator/>
      </w:r>
    </w:p>
  </w:footnote>
  <w:footnote w:type="continuationSeparator" w:id="0">
    <w:p w14:paraId="45ED72C3" w14:textId="77777777" w:rsidR="003128A3" w:rsidRDefault="003128A3" w:rsidP="0067490B">
      <w:pPr>
        <w:spacing w:after="0" w:line="240" w:lineRule="auto"/>
      </w:pPr>
      <w:r>
        <w:continuationSeparator/>
      </w:r>
    </w:p>
  </w:footnote>
  <w:footnote w:type="continuationNotice" w:id="1">
    <w:p w14:paraId="7D155576" w14:textId="77777777" w:rsidR="003128A3" w:rsidRDefault="003128A3">
      <w:pPr>
        <w:spacing w:after="0" w:line="240" w:lineRule="auto"/>
      </w:pPr>
    </w:p>
  </w:footnote>
  <w:footnote w:id="2">
    <w:p w14:paraId="04996FF6" w14:textId="60171497" w:rsidR="00341038" w:rsidRPr="00D35BB6" w:rsidRDefault="00341038">
      <w:pPr>
        <w:pStyle w:val="Notedebasdepage"/>
        <w:rPr>
          <w:i/>
          <w:iCs/>
        </w:rPr>
      </w:pPr>
      <w:r w:rsidRPr="00D35BB6">
        <w:rPr>
          <w:rStyle w:val="Appelnotedebasdep"/>
          <w:i/>
          <w:iCs/>
        </w:rPr>
        <w:footnoteRef/>
      </w:r>
      <w:r w:rsidRPr="00D35BB6">
        <w:rPr>
          <w:i/>
          <w:iCs/>
        </w:rPr>
        <w:t xml:space="preserve"> Après récupération partielle</w:t>
      </w:r>
      <w:r w:rsidR="00610AE9" w:rsidRPr="00D35BB6">
        <w:rPr>
          <w:i/>
          <w:iCs/>
        </w:rPr>
        <w:t xml:space="preserve"> d</w:t>
      </w:r>
      <w:r w:rsidRPr="00D35BB6">
        <w:rPr>
          <w:i/>
          <w:iCs/>
        </w:rPr>
        <w:t>e la TICPE par les transporteurs.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DDB8" w14:textId="720EB99C" w:rsidR="00B42A48" w:rsidRDefault="00776BA9" w:rsidP="00E97D99">
    <w:pPr>
      <w:pStyle w:val="En-tte"/>
      <w:ind w:firstLine="708"/>
      <w:jc w:val="center"/>
      <w:rPr>
        <w:i/>
        <w:iCs/>
      </w:rPr>
    </w:pPr>
    <w:r w:rsidRPr="00B42A48">
      <w:rPr>
        <w:noProof/>
      </w:rPr>
      <w:drawing>
        <wp:anchor distT="0" distB="0" distL="114300" distR="114300" simplePos="0" relativeHeight="251658240" behindDoc="0" locked="0" layoutInCell="1" allowOverlap="1" wp14:anchorId="010A2512" wp14:editId="15ECD93B">
          <wp:simplePos x="0" y="0"/>
          <wp:positionH relativeFrom="column">
            <wp:posOffset>4986655</wp:posOffset>
          </wp:positionH>
          <wp:positionV relativeFrom="paragraph">
            <wp:posOffset>-111760</wp:posOffset>
          </wp:positionV>
          <wp:extent cx="935355" cy="319081"/>
          <wp:effectExtent l="0" t="0" r="0" b="5080"/>
          <wp:wrapNone/>
          <wp:docPr id="7" name="Image 6" descr="Une image contenant texte&#10;&#10;Description générée automatiquement">
            <a:extLst xmlns:a="http://schemas.openxmlformats.org/drawingml/2006/main">
              <a:ext uri="{FF2B5EF4-FFF2-40B4-BE49-F238E27FC236}">
                <a16:creationId xmlns:a16="http://schemas.microsoft.com/office/drawing/2014/main" id="{DBB2196F-4628-4F4F-A892-579F95C4A2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Une image contenant texte&#10;&#10;Description générée automatiquement">
                    <a:extLst>
                      <a:ext uri="{FF2B5EF4-FFF2-40B4-BE49-F238E27FC236}">
                        <a16:creationId xmlns:a16="http://schemas.microsoft.com/office/drawing/2014/main" id="{DBB2196F-4628-4F4F-A892-579F95C4A239}"/>
                      </a:ext>
                    </a:extLst>
                  </pic:cNvPr>
                  <pic:cNvPicPr>
                    <a:picLocks noChangeAspect="1"/>
                  </pic:cNvPicPr>
                </pic:nvPicPr>
                <pic:blipFill>
                  <a:blip r:embed="rId1"/>
                  <a:stretch>
                    <a:fillRect/>
                  </a:stretch>
                </pic:blipFill>
                <pic:spPr>
                  <a:xfrm>
                    <a:off x="0" y="0"/>
                    <a:ext cx="935355" cy="319081"/>
                  </a:xfrm>
                  <a:prstGeom prst="rect">
                    <a:avLst/>
                  </a:prstGeom>
                </pic:spPr>
              </pic:pic>
            </a:graphicData>
          </a:graphic>
          <wp14:sizeRelH relativeFrom="margin">
            <wp14:pctWidth>0</wp14:pctWidth>
          </wp14:sizeRelH>
          <wp14:sizeRelV relativeFrom="margin">
            <wp14:pctHeight>0</wp14:pctHeight>
          </wp14:sizeRelV>
        </wp:anchor>
      </w:drawing>
    </w:r>
    <w:r w:rsidR="00B42A48" w:rsidRPr="00B42A48">
      <w:rPr>
        <w:i/>
        <w:iCs/>
      </w:rPr>
      <w:t xml:space="preserve">        </w:t>
    </w:r>
  </w:p>
  <w:p w14:paraId="62604FEC" w14:textId="77777777" w:rsidR="00B42A48" w:rsidRDefault="00B42A48" w:rsidP="00E97D99">
    <w:pPr>
      <w:pStyle w:val="En-tte"/>
      <w:ind w:firstLine="708"/>
      <w:jc w:val="center"/>
      <w:rPr>
        <w:i/>
        <w:iCs/>
      </w:rPr>
    </w:pPr>
  </w:p>
  <w:p w14:paraId="7A8CBA37" w14:textId="47468580" w:rsidR="0067490B" w:rsidRPr="00E97D99" w:rsidRDefault="0067490B">
    <w:pPr>
      <w:pStyle w:val="En-tte"/>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91D"/>
    <w:multiLevelType w:val="hybridMultilevel"/>
    <w:tmpl w:val="6D4099D2"/>
    <w:lvl w:ilvl="0" w:tplc="99282F62">
      <w:start w:val="1"/>
      <w:numFmt w:val="bullet"/>
      <w:lvlText w:val="&gt;"/>
      <w:lvlJc w:val="left"/>
      <w:pPr>
        <w:ind w:left="4968" w:hanging="360"/>
      </w:pPr>
      <w:rPr>
        <w:rFonts w:ascii="Calibri" w:hAnsi="Calibri" w:hint="default"/>
        <w:color w:val="0066CC"/>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1" w15:restartNumberingAfterBreak="0">
    <w:nsid w:val="0A5918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B94F91"/>
    <w:multiLevelType w:val="hybridMultilevel"/>
    <w:tmpl w:val="A726FDA8"/>
    <w:lvl w:ilvl="0" w:tplc="107CD7C4">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B74CD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183BA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6C2250"/>
    <w:multiLevelType w:val="hybridMultilevel"/>
    <w:tmpl w:val="2D80D42A"/>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B071B"/>
    <w:multiLevelType w:val="hybridMultilevel"/>
    <w:tmpl w:val="86C0162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6FE42D6"/>
    <w:multiLevelType w:val="hybridMultilevel"/>
    <w:tmpl w:val="F7949174"/>
    <w:lvl w:ilvl="0" w:tplc="810643AC">
      <w:start w:val="1"/>
      <w:numFmt w:val="decimal"/>
      <w:pStyle w:val="Titre1"/>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8F3809"/>
    <w:multiLevelType w:val="hybridMultilevel"/>
    <w:tmpl w:val="E8686E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B1B20D0"/>
    <w:multiLevelType w:val="hybridMultilevel"/>
    <w:tmpl w:val="27C64092"/>
    <w:lvl w:ilvl="0" w:tplc="04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3919B4"/>
    <w:multiLevelType w:val="hybridMultilevel"/>
    <w:tmpl w:val="81CE46B4"/>
    <w:lvl w:ilvl="0" w:tplc="040C0005">
      <w:start w:val="1"/>
      <w:numFmt w:val="bullet"/>
      <w:lvlText w:val=""/>
      <w:lvlJc w:val="left"/>
      <w:pPr>
        <w:ind w:left="720" w:hanging="360"/>
      </w:pPr>
      <w:rPr>
        <w:rFonts w:ascii="Wingdings" w:hAnsi="Wingdings" w:hint="default"/>
      </w:rPr>
    </w:lvl>
    <w:lvl w:ilvl="1" w:tplc="107CD7C4">
      <w:start w:val="1"/>
      <w:numFmt w:val="bullet"/>
      <w:lvlText w:val="‐"/>
      <w:lvlJc w:val="left"/>
      <w:pPr>
        <w:ind w:left="72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5371EF"/>
    <w:multiLevelType w:val="hybridMultilevel"/>
    <w:tmpl w:val="1FCE746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2071386"/>
    <w:multiLevelType w:val="hybridMultilevel"/>
    <w:tmpl w:val="72941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B17AC9"/>
    <w:multiLevelType w:val="hybridMultilevel"/>
    <w:tmpl w:val="88A81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A17361"/>
    <w:multiLevelType w:val="hybridMultilevel"/>
    <w:tmpl w:val="5A446010"/>
    <w:lvl w:ilvl="0" w:tplc="994C9A00">
      <w:start w:val="1"/>
      <w:numFmt w:val="bullet"/>
      <w:lvlText w:val=""/>
      <w:lvlJc w:val="left"/>
      <w:pPr>
        <w:tabs>
          <w:tab w:val="num" w:pos="720"/>
        </w:tabs>
        <w:ind w:left="720" w:hanging="360"/>
      </w:pPr>
      <w:rPr>
        <w:rFonts w:ascii="Wingdings" w:hAnsi="Wingdings" w:hint="default"/>
      </w:rPr>
    </w:lvl>
    <w:lvl w:ilvl="1" w:tplc="569612EA" w:tentative="1">
      <w:start w:val="1"/>
      <w:numFmt w:val="bullet"/>
      <w:lvlText w:val=""/>
      <w:lvlJc w:val="left"/>
      <w:pPr>
        <w:tabs>
          <w:tab w:val="num" w:pos="1440"/>
        </w:tabs>
        <w:ind w:left="1440" w:hanging="360"/>
      </w:pPr>
      <w:rPr>
        <w:rFonts w:ascii="Wingdings" w:hAnsi="Wingdings" w:hint="default"/>
      </w:rPr>
    </w:lvl>
    <w:lvl w:ilvl="2" w:tplc="0A8ACCB4" w:tentative="1">
      <w:start w:val="1"/>
      <w:numFmt w:val="bullet"/>
      <w:lvlText w:val=""/>
      <w:lvlJc w:val="left"/>
      <w:pPr>
        <w:tabs>
          <w:tab w:val="num" w:pos="2160"/>
        </w:tabs>
        <w:ind w:left="2160" w:hanging="360"/>
      </w:pPr>
      <w:rPr>
        <w:rFonts w:ascii="Wingdings" w:hAnsi="Wingdings" w:hint="default"/>
      </w:rPr>
    </w:lvl>
    <w:lvl w:ilvl="3" w:tplc="C714C1F2" w:tentative="1">
      <w:start w:val="1"/>
      <w:numFmt w:val="bullet"/>
      <w:lvlText w:val=""/>
      <w:lvlJc w:val="left"/>
      <w:pPr>
        <w:tabs>
          <w:tab w:val="num" w:pos="2880"/>
        </w:tabs>
        <w:ind w:left="2880" w:hanging="360"/>
      </w:pPr>
      <w:rPr>
        <w:rFonts w:ascii="Wingdings" w:hAnsi="Wingdings" w:hint="default"/>
      </w:rPr>
    </w:lvl>
    <w:lvl w:ilvl="4" w:tplc="1CB49CC2" w:tentative="1">
      <w:start w:val="1"/>
      <w:numFmt w:val="bullet"/>
      <w:lvlText w:val=""/>
      <w:lvlJc w:val="left"/>
      <w:pPr>
        <w:tabs>
          <w:tab w:val="num" w:pos="3600"/>
        </w:tabs>
        <w:ind w:left="3600" w:hanging="360"/>
      </w:pPr>
      <w:rPr>
        <w:rFonts w:ascii="Wingdings" w:hAnsi="Wingdings" w:hint="default"/>
      </w:rPr>
    </w:lvl>
    <w:lvl w:ilvl="5" w:tplc="3104B2AC" w:tentative="1">
      <w:start w:val="1"/>
      <w:numFmt w:val="bullet"/>
      <w:lvlText w:val=""/>
      <w:lvlJc w:val="left"/>
      <w:pPr>
        <w:tabs>
          <w:tab w:val="num" w:pos="4320"/>
        </w:tabs>
        <w:ind w:left="4320" w:hanging="360"/>
      </w:pPr>
      <w:rPr>
        <w:rFonts w:ascii="Wingdings" w:hAnsi="Wingdings" w:hint="default"/>
      </w:rPr>
    </w:lvl>
    <w:lvl w:ilvl="6" w:tplc="15189CA2" w:tentative="1">
      <w:start w:val="1"/>
      <w:numFmt w:val="bullet"/>
      <w:lvlText w:val=""/>
      <w:lvlJc w:val="left"/>
      <w:pPr>
        <w:tabs>
          <w:tab w:val="num" w:pos="5040"/>
        </w:tabs>
        <w:ind w:left="5040" w:hanging="360"/>
      </w:pPr>
      <w:rPr>
        <w:rFonts w:ascii="Wingdings" w:hAnsi="Wingdings" w:hint="default"/>
      </w:rPr>
    </w:lvl>
    <w:lvl w:ilvl="7" w:tplc="647C42C8" w:tentative="1">
      <w:start w:val="1"/>
      <w:numFmt w:val="bullet"/>
      <w:lvlText w:val=""/>
      <w:lvlJc w:val="left"/>
      <w:pPr>
        <w:tabs>
          <w:tab w:val="num" w:pos="5760"/>
        </w:tabs>
        <w:ind w:left="5760" w:hanging="360"/>
      </w:pPr>
      <w:rPr>
        <w:rFonts w:ascii="Wingdings" w:hAnsi="Wingdings" w:hint="default"/>
      </w:rPr>
    </w:lvl>
    <w:lvl w:ilvl="8" w:tplc="6A1C40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190CF2"/>
    <w:multiLevelType w:val="hybridMultilevel"/>
    <w:tmpl w:val="A140B360"/>
    <w:lvl w:ilvl="0" w:tplc="DDCA29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921AED"/>
    <w:multiLevelType w:val="hybridMultilevel"/>
    <w:tmpl w:val="7630A036"/>
    <w:lvl w:ilvl="0" w:tplc="040C0005">
      <w:start w:val="1"/>
      <w:numFmt w:val="bullet"/>
      <w:lvlText w:val=""/>
      <w:lvlJc w:val="left"/>
      <w:pPr>
        <w:ind w:left="588" w:hanging="360"/>
      </w:pPr>
      <w:rPr>
        <w:rFonts w:ascii="Wingdings" w:hAnsi="Wingdings"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17" w15:restartNumberingAfterBreak="0">
    <w:nsid w:val="2ACD3BF2"/>
    <w:multiLevelType w:val="hybridMultilevel"/>
    <w:tmpl w:val="B4B4DD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663908"/>
    <w:multiLevelType w:val="hybridMultilevel"/>
    <w:tmpl w:val="8676FF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36434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F30326"/>
    <w:multiLevelType w:val="hybridMultilevel"/>
    <w:tmpl w:val="ED3EFAB0"/>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97A7FB9"/>
    <w:multiLevelType w:val="multilevel"/>
    <w:tmpl w:val="216EECB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A10019"/>
    <w:multiLevelType w:val="hybridMultilevel"/>
    <w:tmpl w:val="B25AAB3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FB69BE"/>
    <w:multiLevelType w:val="hybridMultilevel"/>
    <w:tmpl w:val="C610CE7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992372"/>
    <w:multiLevelType w:val="hybridMultilevel"/>
    <w:tmpl w:val="20E67B8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A827CFC"/>
    <w:multiLevelType w:val="hybridMultilevel"/>
    <w:tmpl w:val="5372D4AE"/>
    <w:lvl w:ilvl="0" w:tplc="A1384DF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CF404E"/>
    <w:multiLevelType w:val="hybridMultilevel"/>
    <w:tmpl w:val="77FEC946"/>
    <w:lvl w:ilvl="0" w:tplc="022814BC">
      <w:start w:val="1"/>
      <w:numFmt w:val="bullet"/>
      <w:lvlText w:val=""/>
      <w:lvlJc w:val="left"/>
      <w:pPr>
        <w:tabs>
          <w:tab w:val="num" w:pos="720"/>
        </w:tabs>
        <w:ind w:left="720" w:hanging="360"/>
      </w:pPr>
      <w:rPr>
        <w:rFonts w:ascii="Wingdings" w:hAnsi="Wingdings" w:hint="default"/>
      </w:rPr>
    </w:lvl>
    <w:lvl w:ilvl="1" w:tplc="F140EA2C" w:tentative="1">
      <w:start w:val="1"/>
      <w:numFmt w:val="bullet"/>
      <w:lvlText w:val=""/>
      <w:lvlJc w:val="left"/>
      <w:pPr>
        <w:tabs>
          <w:tab w:val="num" w:pos="1440"/>
        </w:tabs>
        <w:ind w:left="1440" w:hanging="360"/>
      </w:pPr>
      <w:rPr>
        <w:rFonts w:ascii="Wingdings" w:hAnsi="Wingdings" w:hint="default"/>
      </w:rPr>
    </w:lvl>
    <w:lvl w:ilvl="2" w:tplc="3C5ACCD4" w:tentative="1">
      <w:start w:val="1"/>
      <w:numFmt w:val="bullet"/>
      <w:lvlText w:val=""/>
      <w:lvlJc w:val="left"/>
      <w:pPr>
        <w:tabs>
          <w:tab w:val="num" w:pos="2160"/>
        </w:tabs>
        <w:ind w:left="2160" w:hanging="360"/>
      </w:pPr>
      <w:rPr>
        <w:rFonts w:ascii="Wingdings" w:hAnsi="Wingdings" w:hint="default"/>
      </w:rPr>
    </w:lvl>
    <w:lvl w:ilvl="3" w:tplc="64F470B6" w:tentative="1">
      <w:start w:val="1"/>
      <w:numFmt w:val="bullet"/>
      <w:lvlText w:val=""/>
      <w:lvlJc w:val="left"/>
      <w:pPr>
        <w:tabs>
          <w:tab w:val="num" w:pos="2880"/>
        </w:tabs>
        <w:ind w:left="2880" w:hanging="360"/>
      </w:pPr>
      <w:rPr>
        <w:rFonts w:ascii="Wingdings" w:hAnsi="Wingdings" w:hint="default"/>
      </w:rPr>
    </w:lvl>
    <w:lvl w:ilvl="4" w:tplc="62E2EA16" w:tentative="1">
      <w:start w:val="1"/>
      <w:numFmt w:val="bullet"/>
      <w:lvlText w:val=""/>
      <w:lvlJc w:val="left"/>
      <w:pPr>
        <w:tabs>
          <w:tab w:val="num" w:pos="3600"/>
        </w:tabs>
        <w:ind w:left="3600" w:hanging="360"/>
      </w:pPr>
      <w:rPr>
        <w:rFonts w:ascii="Wingdings" w:hAnsi="Wingdings" w:hint="default"/>
      </w:rPr>
    </w:lvl>
    <w:lvl w:ilvl="5" w:tplc="EBC4696A" w:tentative="1">
      <w:start w:val="1"/>
      <w:numFmt w:val="bullet"/>
      <w:lvlText w:val=""/>
      <w:lvlJc w:val="left"/>
      <w:pPr>
        <w:tabs>
          <w:tab w:val="num" w:pos="4320"/>
        </w:tabs>
        <w:ind w:left="4320" w:hanging="360"/>
      </w:pPr>
      <w:rPr>
        <w:rFonts w:ascii="Wingdings" w:hAnsi="Wingdings" w:hint="default"/>
      </w:rPr>
    </w:lvl>
    <w:lvl w:ilvl="6" w:tplc="6F2C86FE" w:tentative="1">
      <w:start w:val="1"/>
      <w:numFmt w:val="bullet"/>
      <w:lvlText w:val=""/>
      <w:lvlJc w:val="left"/>
      <w:pPr>
        <w:tabs>
          <w:tab w:val="num" w:pos="5040"/>
        </w:tabs>
        <w:ind w:left="5040" w:hanging="360"/>
      </w:pPr>
      <w:rPr>
        <w:rFonts w:ascii="Wingdings" w:hAnsi="Wingdings" w:hint="default"/>
      </w:rPr>
    </w:lvl>
    <w:lvl w:ilvl="7" w:tplc="22E0392C" w:tentative="1">
      <w:start w:val="1"/>
      <w:numFmt w:val="bullet"/>
      <w:lvlText w:val=""/>
      <w:lvlJc w:val="left"/>
      <w:pPr>
        <w:tabs>
          <w:tab w:val="num" w:pos="5760"/>
        </w:tabs>
        <w:ind w:left="5760" w:hanging="360"/>
      </w:pPr>
      <w:rPr>
        <w:rFonts w:ascii="Wingdings" w:hAnsi="Wingdings" w:hint="default"/>
      </w:rPr>
    </w:lvl>
    <w:lvl w:ilvl="8" w:tplc="B9380ED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EB0A7D"/>
    <w:multiLevelType w:val="hybridMultilevel"/>
    <w:tmpl w:val="400C969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745019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7F3D3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390AC9"/>
    <w:multiLevelType w:val="hybridMultilevel"/>
    <w:tmpl w:val="4876621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B2F4856"/>
    <w:multiLevelType w:val="hybridMultilevel"/>
    <w:tmpl w:val="C5C82784"/>
    <w:lvl w:ilvl="0" w:tplc="7A38238A">
      <w:start w:val="1"/>
      <w:numFmt w:val="bullet"/>
      <w:lvlText w:val="&gt;"/>
      <w:lvlJc w:val="left"/>
      <w:pPr>
        <w:ind w:left="1776" w:hanging="360"/>
      </w:pPr>
      <w:rPr>
        <w:rFonts w:ascii="Calibri" w:hAnsi="Calibri" w:hint="default"/>
        <w:color w:val="0066CC"/>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2" w15:restartNumberingAfterBreak="0">
    <w:nsid w:val="6BA3225C"/>
    <w:multiLevelType w:val="hybridMultilevel"/>
    <w:tmpl w:val="C194DDD8"/>
    <w:lvl w:ilvl="0" w:tplc="35FA2200">
      <w:start w:val="1"/>
      <w:numFmt w:val="bullet"/>
      <w:lvlText w:val=""/>
      <w:lvlJc w:val="left"/>
      <w:pPr>
        <w:tabs>
          <w:tab w:val="num" w:pos="720"/>
        </w:tabs>
        <w:ind w:left="720" w:hanging="360"/>
      </w:pPr>
      <w:rPr>
        <w:rFonts w:ascii="Wingdings" w:hAnsi="Wingdings" w:hint="default"/>
      </w:rPr>
    </w:lvl>
    <w:lvl w:ilvl="1" w:tplc="A94EB002" w:tentative="1">
      <w:start w:val="1"/>
      <w:numFmt w:val="bullet"/>
      <w:lvlText w:val=""/>
      <w:lvlJc w:val="left"/>
      <w:pPr>
        <w:tabs>
          <w:tab w:val="num" w:pos="1440"/>
        </w:tabs>
        <w:ind w:left="1440" w:hanging="360"/>
      </w:pPr>
      <w:rPr>
        <w:rFonts w:ascii="Wingdings" w:hAnsi="Wingdings" w:hint="default"/>
      </w:rPr>
    </w:lvl>
    <w:lvl w:ilvl="2" w:tplc="F2845B56" w:tentative="1">
      <w:start w:val="1"/>
      <w:numFmt w:val="bullet"/>
      <w:lvlText w:val=""/>
      <w:lvlJc w:val="left"/>
      <w:pPr>
        <w:tabs>
          <w:tab w:val="num" w:pos="2160"/>
        </w:tabs>
        <w:ind w:left="2160" w:hanging="360"/>
      </w:pPr>
      <w:rPr>
        <w:rFonts w:ascii="Wingdings" w:hAnsi="Wingdings" w:hint="default"/>
      </w:rPr>
    </w:lvl>
    <w:lvl w:ilvl="3" w:tplc="4CF0296A" w:tentative="1">
      <w:start w:val="1"/>
      <w:numFmt w:val="bullet"/>
      <w:lvlText w:val=""/>
      <w:lvlJc w:val="left"/>
      <w:pPr>
        <w:tabs>
          <w:tab w:val="num" w:pos="2880"/>
        </w:tabs>
        <w:ind w:left="2880" w:hanging="360"/>
      </w:pPr>
      <w:rPr>
        <w:rFonts w:ascii="Wingdings" w:hAnsi="Wingdings" w:hint="default"/>
      </w:rPr>
    </w:lvl>
    <w:lvl w:ilvl="4" w:tplc="2E9678FA" w:tentative="1">
      <w:start w:val="1"/>
      <w:numFmt w:val="bullet"/>
      <w:lvlText w:val=""/>
      <w:lvlJc w:val="left"/>
      <w:pPr>
        <w:tabs>
          <w:tab w:val="num" w:pos="3600"/>
        </w:tabs>
        <w:ind w:left="3600" w:hanging="360"/>
      </w:pPr>
      <w:rPr>
        <w:rFonts w:ascii="Wingdings" w:hAnsi="Wingdings" w:hint="default"/>
      </w:rPr>
    </w:lvl>
    <w:lvl w:ilvl="5" w:tplc="B2FAA342" w:tentative="1">
      <w:start w:val="1"/>
      <w:numFmt w:val="bullet"/>
      <w:lvlText w:val=""/>
      <w:lvlJc w:val="left"/>
      <w:pPr>
        <w:tabs>
          <w:tab w:val="num" w:pos="4320"/>
        </w:tabs>
        <w:ind w:left="4320" w:hanging="360"/>
      </w:pPr>
      <w:rPr>
        <w:rFonts w:ascii="Wingdings" w:hAnsi="Wingdings" w:hint="default"/>
      </w:rPr>
    </w:lvl>
    <w:lvl w:ilvl="6" w:tplc="A198C538" w:tentative="1">
      <w:start w:val="1"/>
      <w:numFmt w:val="bullet"/>
      <w:lvlText w:val=""/>
      <w:lvlJc w:val="left"/>
      <w:pPr>
        <w:tabs>
          <w:tab w:val="num" w:pos="5040"/>
        </w:tabs>
        <w:ind w:left="5040" w:hanging="360"/>
      </w:pPr>
      <w:rPr>
        <w:rFonts w:ascii="Wingdings" w:hAnsi="Wingdings" w:hint="default"/>
      </w:rPr>
    </w:lvl>
    <w:lvl w:ilvl="7" w:tplc="6A5E045A" w:tentative="1">
      <w:start w:val="1"/>
      <w:numFmt w:val="bullet"/>
      <w:lvlText w:val=""/>
      <w:lvlJc w:val="left"/>
      <w:pPr>
        <w:tabs>
          <w:tab w:val="num" w:pos="5760"/>
        </w:tabs>
        <w:ind w:left="5760" w:hanging="360"/>
      </w:pPr>
      <w:rPr>
        <w:rFonts w:ascii="Wingdings" w:hAnsi="Wingdings" w:hint="default"/>
      </w:rPr>
    </w:lvl>
    <w:lvl w:ilvl="8" w:tplc="71F0761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C079AA"/>
    <w:multiLevelType w:val="hybridMultilevel"/>
    <w:tmpl w:val="7B222CB2"/>
    <w:lvl w:ilvl="0" w:tplc="341A53E4">
      <w:start w:val="1"/>
      <w:numFmt w:val="bullet"/>
      <w:lvlText w:val=""/>
      <w:lvlJc w:val="left"/>
      <w:pPr>
        <w:tabs>
          <w:tab w:val="num" w:pos="720"/>
        </w:tabs>
        <w:ind w:left="720" w:hanging="360"/>
      </w:pPr>
      <w:rPr>
        <w:rFonts w:ascii="Wingdings" w:hAnsi="Wingdings" w:hint="default"/>
      </w:rPr>
    </w:lvl>
    <w:lvl w:ilvl="1" w:tplc="C4CEC75A" w:tentative="1">
      <w:start w:val="1"/>
      <w:numFmt w:val="bullet"/>
      <w:lvlText w:val=""/>
      <w:lvlJc w:val="left"/>
      <w:pPr>
        <w:tabs>
          <w:tab w:val="num" w:pos="1440"/>
        </w:tabs>
        <w:ind w:left="1440" w:hanging="360"/>
      </w:pPr>
      <w:rPr>
        <w:rFonts w:ascii="Wingdings" w:hAnsi="Wingdings" w:hint="default"/>
      </w:rPr>
    </w:lvl>
    <w:lvl w:ilvl="2" w:tplc="7F54589E" w:tentative="1">
      <w:start w:val="1"/>
      <w:numFmt w:val="bullet"/>
      <w:lvlText w:val=""/>
      <w:lvlJc w:val="left"/>
      <w:pPr>
        <w:tabs>
          <w:tab w:val="num" w:pos="2160"/>
        </w:tabs>
        <w:ind w:left="2160" w:hanging="360"/>
      </w:pPr>
      <w:rPr>
        <w:rFonts w:ascii="Wingdings" w:hAnsi="Wingdings" w:hint="default"/>
      </w:rPr>
    </w:lvl>
    <w:lvl w:ilvl="3" w:tplc="1E82BC06" w:tentative="1">
      <w:start w:val="1"/>
      <w:numFmt w:val="bullet"/>
      <w:lvlText w:val=""/>
      <w:lvlJc w:val="left"/>
      <w:pPr>
        <w:tabs>
          <w:tab w:val="num" w:pos="2880"/>
        </w:tabs>
        <w:ind w:left="2880" w:hanging="360"/>
      </w:pPr>
      <w:rPr>
        <w:rFonts w:ascii="Wingdings" w:hAnsi="Wingdings" w:hint="default"/>
      </w:rPr>
    </w:lvl>
    <w:lvl w:ilvl="4" w:tplc="CC0C6116" w:tentative="1">
      <w:start w:val="1"/>
      <w:numFmt w:val="bullet"/>
      <w:lvlText w:val=""/>
      <w:lvlJc w:val="left"/>
      <w:pPr>
        <w:tabs>
          <w:tab w:val="num" w:pos="3600"/>
        </w:tabs>
        <w:ind w:left="3600" w:hanging="360"/>
      </w:pPr>
      <w:rPr>
        <w:rFonts w:ascii="Wingdings" w:hAnsi="Wingdings" w:hint="default"/>
      </w:rPr>
    </w:lvl>
    <w:lvl w:ilvl="5" w:tplc="21341A34" w:tentative="1">
      <w:start w:val="1"/>
      <w:numFmt w:val="bullet"/>
      <w:lvlText w:val=""/>
      <w:lvlJc w:val="left"/>
      <w:pPr>
        <w:tabs>
          <w:tab w:val="num" w:pos="4320"/>
        </w:tabs>
        <w:ind w:left="4320" w:hanging="360"/>
      </w:pPr>
      <w:rPr>
        <w:rFonts w:ascii="Wingdings" w:hAnsi="Wingdings" w:hint="default"/>
      </w:rPr>
    </w:lvl>
    <w:lvl w:ilvl="6" w:tplc="B0AA1EEE" w:tentative="1">
      <w:start w:val="1"/>
      <w:numFmt w:val="bullet"/>
      <w:lvlText w:val=""/>
      <w:lvlJc w:val="left"/>
      <w:pPr>
        <w:tabs>
          <w:tab w:val="num" w:pos="5040"/>
        </w:tabs>
        <w:ind w:left="5040" w:hanging="360"/>
      </w:pPr>
      <w:rPr>
        <w:rFonts w:ascii="Wingdings" w:hAnsi="Wingdings" w:hint="default"/>
      </w:rPr>
    </w:lvl>
    <w:lvl w:ilvl="7" w:tplc="E31E97E8" w:tentative="1">
      <w:start w:val="1"/>
      <w:numFmt w:val="bullet"/>
      <w:lvlText w:val=""/>
      <w:lvlJc w:val="left"/>
      <w:pPr>
        <w:tabs>
          <w:tab w:val="num" w:pos="5760"/>
        </w:tabs>
        <w:ind w:left="5760" w:hanging="360"/>
      </w:pPr>
      <w:rPr>
        <w:rFonts w:ascii="Wingdings" w:hAnsi="Wingdings" w:hint="default"/>
      </w:rPr>
    </w:lvl>
    <w:lvl w:ilvl="8" w:tplc="25BE61F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66420C"/>
    <w:multiLevelType w:val="hybridMultilevel"/>
    <w:tmpl w:val="3012A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CB44E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68614A"/>
    <w:multiLevelType w:val="hybridMultilevel"/>
    <w:tmpl w:val="BBD08F7E"/>
    <w:lvl w:ilvl="0" w:tplc="982442D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A7941"/>
    <w:multiLevelType w:val="hybridMultilevel"/>
    <w:tmpl w:val="428665D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2404303"/>
    <w:multiLevelType w:val="hybridMultilevel"/>
    <w:tmpl w:val="628892A4"/>
    <w:lvl w:ilvl="0" w:tplc="3C8E7948">
      <w:numFmt w:val="bullet"/>
      <w:lvlText w:val="-"/>
      <w:lvlJc w:val="left"/>
      <w:pPr>
        <w:ind w:left="785" w:hanging="360"/>
      </w:pPr>
      <w:rPr>
        <w:rFonts w:ascii="Calibri" w:eastAsiaTheme="minorHAnsi" w:hAnsi="Calibri" w:cs="Calibr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9" w15:restartNumberingAfterBreak="0">
    <w:nsid w:val="755F1975"/>
    <w:multiLevelType w:val="hybridMultilevel"/>
    <w:tmpl w:val="C87CBB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E85BE5"/>
    <w:multiLevelType w:val="multilevel"/>
    <w:tmpl w:val="7CAC7A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6805A2"/>
    <w:multiLevelType w:val="hybridMultilevel"/>
    <w:tmpl w:val="5CD6DD42"/>
    <w:lvl w:ilvl="0" w:tplc="8196F65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F023DC"/>
    <w:multiLevelType w:val="hybridMultilevel"/>
    <w:tmpl w:val="BD585D6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D660DB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D235A9"/>
    <w:multiLevelType w:val="hybridMultilevel"/>
    <w:tmpl w:val="8DFA498C"/>
    <w:lvl w:ilvl="0" w:tplc="CCD0E3CE">
      <w:start w:val="1"/>
      <w:numFmt w:val="bullet"/>
      <w:lvlText w:val=""/>
      <w:lvlJc w:val="left"/>
      <w:pPr>
        <w:tabs>
          <w:tab w:val="num" w:pos="720"/>
        </w:tabs>
        <w:ind w:left="720" w:hanging="360"/>
      </w:pPr>
      <w:rPr>
        <w:rFonts w:ascii="Wingdings" w:hAnsi="Wingdings" w:hint="default"/>
      </w:rPr>
    </w:lvl>
    <w:lvl w:ilvl="1" w:tplc="DADCB08C" w:tentative="1">
      <w:start w:val="1"/>
      <w:numFmt w:val="bullet"/>
      <w:lvlText w:val=""/>
      <w:lvlJc w:val="left"/>
      <w:pPr>
        <w:tabs>
          <w:tab w:val="num" w:pos="1440"/>
        </w:tabs>
        <w:ind w:left="1440" w:hanging="360"/>
      </w:pPr>
      <w:rPr>
        <w:rFonts w:ascii="Wingdings" w:hAnsi="Wingdings" w:hint="default"/>
      </w:rPr>
    </w:lvl>
    <w:lvl w:ilvl="2" w:tplc="5E1A86E4" w:tentative="1">
      <w:start w:val="1"/>
      <w:numFmt w:val="bullet"/>
      <w:lvlText w:val=""/>
      <w:lvlJc w:val="left"/>
      <w:pPr>
        <w:tabs>
          <w:tab w:val="num" w:pos="2160"/>
        </w:tabs>
        <w:ind w:left="2160" w:hanging="360"/>
      </w:pPr>
      <w:rPr>
        <w:rFonts w:ascii="Wingdings" w:hAnsi="Wingdings" w:hint="default"/>
      </w:rPr>
    </w:lvl>
    <w:lvl w:ilvl="3" w:tplc="7B5E3D88" w:tentative="1">
      <w:start w:val="1"/>
      <w:numFmt w:val="bullet"/>
      <w:lvlText w:val=""/>
      <w:lvlJc w:val="left"/>
      <w:pPr>
        <w:tabs>
          <w:tab w:val="num" w:pos="2880"/>
        </w:tabs>
        <w:ind w:left="2880" w:hanging="360"/>
      </w:pPr>
      <w:rPr>
        <w:rFonts w:ascii="Wingdings" w:hAnsi="Wingdings" w:hint="default"/>
      </w:rPr>
    </w:lvl>
    <w:lvl w:ilvl="4" w:tplc="1194CFC2" w:tentative="1">
      <w:start w:val="1"/>
      <w:numFmt w:val="bullet"/>
      <w:lvlText w:val=""/>
      <w:lvlJc w:val="left"/>
      <w:pPr>
        <w:tabs>
          <w:tab w:val="num" w:pos="3600"/>
        </w:tabs>
        <w:ind w:left="3600" w:hanging="360"/>
      </w:pPr>
      <w:rPr>
        <w:rFonts w:ascii="Wingdings" w:hAnsi="Wingdings" w:hint="default"/>
      </w:rPr>
    </w:lvl>
    <w:lvl w:ilvl="5" w:tplc="CBB6BB8C" w:tentative="1">
      <w:start w:val="1"/>
      <w:numFmt w:val="bullet"/>
      <w:lvlText w:val=""/>
      <w:lvlJc w:val="left"/>
      <w:pPr>
        <w:tabs>
          <w:tab w:val="num" w:pos="4320"/>
        </w:tabs>
        <w:ind w:left="4320" w:hanging="360"/>
      </w:pPr>
      <w:rPr>
        <w:rFonts w:ascii="Wingdings" w:hAnsi="Wingdings" w:hint="default"/>
      </w:rPr>
    </w:lvl>
    <w:lvl w:ilvl="6" w:tplc="8E9683FA" w:tentative="1">
      <w:start w:val="1"/>
      <w:numFmt w:val="bullet"/>
      <w:lvlText w:val=""/>
      <w:lvlJc w:val="left"/>
      <w:pPr>
        <w:tabs>
          <w:tab w:val="num" w:pos="5040"/>
        </w:tabs>
        <w:ind w:left="5040" w:hanging="360"/>
      </w:pPr>
      <w:rPr>
        <w:rFonts w:ascii="Wingdings" w:hAnsi="Wingdings" w:hint="default"/>
      </w:rPr>
    </w:lvl>
    <w:lvl w:ilvl="7" w:tplc="9B3E262E" w:tentative="1">
      <w:start w:val="1"/>
      <w:numFmt w:val="bullet"/>
      <w:lvlText w:val=""/>
      <w:lvlJc w:val="left"/>
      <w:pPr>
        <w:tabs>
          <w:tab w:val="num" w:pos="5760"/>
        </w:tabs>
        <w:ind w:left="5760" w:hanging="360"/>
      </w:pPr>
      <w:rPr>
        <w:rFonts w:ascii="Wingdings" w:hAnsi="Wingdings" w:hint="default"/>
      </w:rPr>
    </w:lvl>
    <w:lvl w:ilvl="8" w:tplc="32EC0BFA"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6"/>
  </w:num>
  <w:num w:numId="3">
    <w:abstractNumId w:val="7"/>
  </w:num>
  <w:num w:numId="4">
    <w:abstractNumId w:val="21"/>
  </w:num>
  <w:num w:numId="5">
    <w:abstractNumId w:val="28"/>
  </w:num>
  <w:num w:numId="6">
    <w:abstractNumId w:val="19"/>
  </w:num>
  <w:num w:numId="7">
    <w:abstractNumId w:val="16"/>
  </w:num>
  <w:num w:numId="8">
    <w:abstractNumId w:val="38"/>
  </w:num>
  <w:num w:numId="9">
    <w:abstractNumId w:val="5"/>
  </w:num>
  <w:num w:numId="10">
    <w:abstractNumId w:val="12"/>
  </w:num>
  <w:num w:numId="11">
    <w:abstractNumId w:val="20"/>
  </w:num>
  <w:num w:numId="12">
    <w:abstractNumId w:val="4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
  </w:num>
  <w:num w:numId="17">
    <w:abstractNumId w:val="43"/>
  </w:num>
  <w:num w:numId="18">
    <w:abstractNumId w:val="35"/>
  </w:num>
  <w:num w:numId="19">
    <w:abstractNumId w:val="1"/>
  </w:num>
  <w:num w:numId="20">
    <w:abstractNumId w:val="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3"/>
  </w:num>
  <w:num w:numId="24">
    <w:abstractNumId w:val="2"/>
  </w:num>
  <w:num w:numId="25">
    <w:abstractNumId w:val="17"/>
  </w:num>
  <w:num w:numId="26">
    <w:abstractNumId w:val="39"/>
  </w:num>
  <w:num w:numId="27">
    <w:abstractNumId w:val="41"/>
  </w:num>
  <w:num w:numId="28">
    <w:abstractNumId w:val="25"/>
  </w:num>
  <w:num w:numId="29">
    <w:abstractNumId w:val="22"/>
  </w:num>
  <w:num w:numId="30">
    <w:abstractNumId w:val="32"/>
  </w:num>
  <w:num w:numId="31">
    <w:abstractNumId w:val="26"/>
  </w:num>
  <w:num w:numId="32">
    <w:abstractNumId w:val="14"/>
  </w:num>
  <w:num w:numId="33">
    <w:abstractNumId w:val="9"/>
  </w:num>
  <w:num w:numId="34">
    <w:abstractNumId w:val="37"/>
  </w:num>
  <w:num w:numId="35">
    <w:abstractNumId w:val="10"/>
  </w:num>
  <w:num w:numId="36">
    <w:abstractNumId w:val="18"/>
  </w:num>
  <w:num w:numId="37">
    <w:abstractNumId w:val="24"/>
  </w:num>
  <w:num w:numId="38">
    <w:abstractNumId w:val="8"/>
  </w:num>
  <w:num w:numId="39">
    <w:abstractNumId w:val="27"/>
  </w:num>
  <w:num w:numId="40">
    <w:abstractNumId w:val="33"/>
  </w:num>
  <w:num w:numId="41">
    <w:abstractNumId w:val="11"/>
  </w:num>
  <w:num w:numId="42">
    <w:abstractNumId w:val="44"/>
  </w:num>
  <w:num w:numId="43">
    <w:abstractNumId w:val="42"/>
  </w:num>
  <w:num w:numId="44">
    <w:abstractNumId w:val="6"/>
  </w:num>
  <w:num w:numId="45">
    <w:abstractNumId w:val="30"/>
  </w:num>
  <w:num w:numId="46">
    <w:abstractNumId w:val="15"/>
  </w:num>
  <w:num w:numId="47">
    <w:abstractNumId w:val="0"/>
  </w:num>
  <w:num w:numId="4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50"/>
    <w:rsid w:val="00000182"/>
    <w:rsid w:val="00003018"/>
    <w:rsid w:val="00003D91"/>
    <w:rsid w:val="0000551D"/>
    <w:rsid w:val="00006F87"/>
    <w:rsid w:val="000105EE"/>
    <w:rsid w:val="000114D3"/>
    <w:rsid w:val="000116A6"/>
    <w:rsid w:val="000140D1"/>
    <w:rsid w:val="00015011"/>
    <w:rsid w:val="000156BD"/>
    <w:rsid w:val="00015ABC"/>
    <w:rsid w:val="00016633"/>
    <w:rsid w:val="0002308A"/>
    <w:rsid w:val="000257F2"/>
    <w:rsid w:val="0002683D"/>
    <w:rsid w:val="000313A0"/>
    <w:rsid w:val="000314E2"/>
    <w:rsid w:val="000326E6"/>
    <w:rsid w:val="0003319A"/>
    <w:rsid w:val="00033BA4"/>
    <w:rsid w:val="00036A89"/>
    <w:rsid w:val="00044A01"/>
    <w:rsid w:val="00044E13"/>
    <w:rsid w:val="00046412"/>
    <w:rsid w:val="0005113D"/>
    <w:rsid w:val="00051807"/>
    <w:rsid w:val="000528CF"/>
    <w:rsid w:val="0005379B"/>
    <w:rsid w:val="00056528"/>
    <w:rsid w:val="000566A4"/>
    <w:rsid w:val="00056C39"/>
    <w:rsid w:val="00056C71"/>
    <w:rsid w:val="00057809"/>
    <w:rsid w:val="00057F96"/>
    <w:rsid w:val="000618BD"/>
    <w:rsid w:val="00063719"/>
    <w:rsid w:val="000656DD"/>
    <w:rsid w:val="0006595F"/>
    <w:rsid w:val="00066B39"/>
    <w:rsid w:val="00070854"/>
    <w:rsid w:val="00071F69"/>
    <w:rsid w:val="000720D8"/>
    <w:rsid w:val="0007744B"/>
    <w:rsid w:val="0008211B"/>
    <w:rsid w:val="00083AC5"/>
    <w:rsid w:val="000851A5"/>
    <w:rsid w:val="000864F1"/>
    <w:rsid w:val="00086C57"/>
    <w:rsid w:val="00087053"/>
    <w:rsid w:val="00091B30"/>
    <w:rsid w:val="00092B09"/>
    <w:rsid w:val="00095522"/>
    <w:rsid w:val="00095A3B"/>
    <w:rsid w:val="00096BBC"/>
    <w:rsid w:val="00097017"/>
    <w:rsid w:val="000A14B9"/>
    <w:rsid w:val="000A27D6"/>
    <w:rsid w:val="000A392C"/>
    <w:rsid w:val="000A3FA2"/>
    <w:rsid w:val="000B0300"/>
    <w:rsid w:val="000B0FB1"/>
    <w:rsid w:val="000B4995"/>
    <w:rsid w:val="000B4B0C"/>
    <w:rsid w:val="000C0EC8"/>
    <w:rsid w:val="000C1761"/>
    <w:rsid w:val="000C40C2"/>
    <w:rsid w:val="000C5048"/>
    <w:rsid w:val="000C742D"/>
    <w:rsid w:val="000D0ACE"/>
    <w:rsid w:val="000D287C"/>
    <w:rsid w:val="000D29B3"/>
    <w:rsid w:val="000D46D6"/>
    <w:rsid w:val="000D6A0F"/>
    <w:rsid w:val="000D7B73"/>
    <w:rsid w:val="000E3831"/>
    <w:rsid w:val="000E386B"/>
    <w:rsid w:val="000E3DFA"/>
    <w:rsid w:val="000E3FC4"/>
    <w:rsid w:val="000E6442"/>
    <w:rsid w:val="000E6AEE"/>
    <w:rsid w:val="000E6BCE"/>
    <w:rsid w:val="000E7949"/>
    <w:rsid w:val="000E7A1B"/>
    <w:rsid w:val="000F0AD4"/>
    <w:rsid w:val="000F100B"/>
    <w:rsid w:val="000F1A73"/>
    <w:rsid w:val="000F1D00"/>
    <w:rsid w:val="000F67A0"/>
    <w:rsid w:val="000F7677"/>
    <w:rsid w:val="001014FA"/>
    <w:rsid w:val="00102E67"/>
    <w:rsid w:val="00103B6D"/>
    <w:rsid w:val="00103E23"/>
    <w:rsid w:val="00104267"/>
    <w:rsid w:val="0011163C"/>
    <w:rsid w:val="00113373"/>
    <w:rsid w:val="00113842"/>
    <w:rsid w:val="0011384A"/>
    <w:rsid w:val="00115A5A"/>
    <w:rsid w:val="00116E48"/>
    <w:rsid w:val="001229AB"/>
    <w:rsid w:val="0012558E"/>
    <w:rsid w:val="001263E5"/>
    <w:rsid w:val="001300F1"/>
    <w:rsid w:val="0013269C"/>
    <w:rsid w:val="00135104"/>
    <w:rsid w:val="0013575B"/>
    <w:rsid w:val="00135AF0"/>
    <w:rsid w:val="00140197"/>
    <w:rsid w:val="00140400"/>
    <w:rsid w:val="00141D2D"/>
    <w:rsid w:val="001431A1"/>
    <w:rsid w:val="00144722"/>
    <w:rsid w:val="0014694B"/>
    <w:rsid w:val="00150263"/>
    <w:rsid w:val="001527C6"/>
    <w:rsid w:val="001577FE"/>
    <w:rsid w:val="00162659"/>
    <w:rsid w:val="00164319"/>
    <w:rsid w:val="00164CBE"/>
    <w:rsid w:val="001651D5"/>
    <w:rsid w:val="001667FB"/>
    <w:rsid w:val="001672BA"/>
    <w:rsid w:val="0016763E"/>
    <w:rsid w:val="00167924"/>
    <w:rsid w:val="00167D62"/>
    <w:rsid w:val="00170614"/>
    <w:rsid w:val="00174A54"/>
    <w:rsid w:val="001764D8"/>
    <w:rsid w:val="00177031"/>
    <w:rsid w:val="00177B16"/>
    <w:rsid w:val="001820A2"/>
    <w:rsid w:val="001826A2"/>
    <w:rsid w:val="00185500"/>
    <w:rsid w:val="00190FAD"/>
    <w:rsid w:val="00193601"/>
    <w:rsid w:val="001949C4"/>
    <w:rsid w:val="00194CE9"/>
    <w:rsid w:val="001968FF"/>
    <w:rsid w:val="001969CF"/>
    <w:rsid w:val="00197EFC"/>
    <w:rsid w:val="001A0290"/>
    <w:rsid w:val="001A241F"/>
    <w:rsid w:val="001A3E9A"/>
    <w:rsid w:val="001B0F16"/>
    <w:rsid w:val="001B18C7"/>
    <w:rsid w:val="001B6663"/>
    <w:rsid w:val="001B6DE9"/>
    <w:rsid w:val="001C04C2"/>
    <w:rsid w:val="001C0B46"/>
    <w:rsid w:val="001C21C7"/>
    <w:rsid w:val="001C2715"/>
    <w:rsid w:val="001C5CBC"/>
    <w:rsid w:val="001C7B1E"/>
    <w:rsid w:val="001C7EF9"/>
    <w:rsid w:val="001D00C3"/>
    <w:rsid w:val="001D0E87"/>
    <w:rsid w:val="001D1D5F"/>
    <w:rsid w:val="001D2C90"/>
    <w:rsid w:val="001D49B9"/>
    <w:rsid w:val="001E2F69"/>
    <w:rsid w:val="001E3612"/>
    <w:rsid w:val="001E37E0"/>
    <w:rsid w:val="001E4421"/>
    <w:rsid w:val="001E5310"/>
    <w:rsid w:val="001E5991"/>
    <w:rsid w:val="001F05AF"/>
    <w:rsid w:val="001F1B16"/>
    <w:rsid w:val="001F1F75"/>
    <w:rsid w:val="001F2435"/>
    <w:rsid w:val="001F2B42"/>
    <w:rsid w:val="001F2BFC"/>
    <w:rsid w:val="001F4BDF"/>
    <w:rsid w:val="001F5555"/>
    <w:rsid w:val="00201F54"/>
    <w:rsid w:val="00202CEE"/>
    <w:rsid w:val="00203AB9"/>
    <w:rsid w:val="00203ED5"/>
    <w:rsid w:val="0020472F"/>
    <w:rsid w:val="0020713B"/>
    <w:rsid w:val="00210E5B"/>
    <w:rsid w:val="00215116"/>
    <w:rsid w:val="0021549B"/>
    <w:rsid w:val="00216281"/>
    <w:rsid w:val="002204C2"/>
    <w:rsid w:val="0022110C"/>
    <w:rsid w:val="00221AAF"/>
    <w:rsid w:val="00222F28"/>
    <w:rsid w:val="00223926"/>
    <w:rsid w:val="0022713A"/>
    <w:rsid w:val="00230099"/>
    <w:rsid w:val="0023106F"/>
    <w:rsid w:val="0023161A"/>
    <w:rsid w:val="00232A44"/>
    <w:rsid w:val="002356B8"/>
    <w:rsid w:val="00236078"/>
    <w:rsid w:val="002409BB"/>
    <w:rsid w:val="00242C49"/>
    <w:rsid w:val="00250929"/>
    <w:rsid w:val="00251D80"/>
    <w:rsid w:val="002528BB"/>
    <w:rsid w:val="00254422"/>
    <w:rsid w:val="00254A5E"/>
    <w:rsid w:val="00256390"/>
    <w:rsid w:val="00256F5C"/>
    <w:rsid w:val="002576A3"/>
    <w:rsid w:val="002578E2"/>
    <w:rsid w:val="00260699"/>
    <w:rsid w:val="00260EB1"/>
    <w:rsid w:val="00262CB1"/>
    <w:rsid w:val="00263B3A"/>
    <w:rsid w:val="00264466"/>
    <w:rsid w:val="002652DF"/>
    <w:rsid w:val="00273A41"/>
    <w:rsid w:val="00273DA4"/>
    <w:rsid w:val="00274B38"/>
    <w:rsid w:val="00275BBD"/>
    <w:rsid w:val="00281898"/>
    <w:rsid w:val="0028234E"/>
    <w:rsid w:val="00282614"/>
    <w:rsid w:val="00282F49"/>
    <w:rsid w:val="002838F1"/>
    <w:rsid w:val="00283DAE"/>
    <w:rsid w:val="00284534"/>
    <w:rsid w:val="0028494E"/>
    <w:rsid w:val="002864A6"/>
    <w:rsid w:val="00293861"/>
    <w:rsid w:val="00293D5B"/>
    <w:rsid w:val="00296143"/>
    <w:rsid w:val="00296660"/>
    <w:rsid w:val="00297687"/>
    <w:rsid w:val="002A0CE7"/>
    <w:rsid w:val="002A23C0"/>
    <w:rsid w:val="002A3964"/>
    <w:rsid w:val="002A5414"/>
    <w:rsid w:val="002A5855"/>
    <w:rsid w:val="002A676B"/>
    <w:rsid w:val="002A681C"/>
    <w:rsid w:val="002A6D51"/>
    <w:rsid w:val="002B2D98"/>
    <w:rsid w:val="002B4EC7"/>
    <w:rsid w:val="002B5E55"/>
    <w:rsid w:val="002B67D5"/>
    <w:rsid w:val="002C0AA2"/>
    <w:rsid w:val="002C0B29"/>
    <w:rsid w:val="002C1BF1"/>
    <w:rsid w:val="002C1D44"/>
    <w:rsid w:val="002C52BC"/>
    <w:rsid w:val="002C7A5A"/>
    <w:rsid w:val="002C7A99"/>
    <w:rsid w:val="002D1CE8"/>
    <w:rsid w:val="002D3574"/>
    <w:rsid w:val="002D57F6"/>
    <w:rsid w:val="002D6BAB"/>
    <w:rsid w:val="002E39F4"/>
    <w:rsid w:val="002E4F0B"/>
    <w:rsid w:val="002F102A"/>
    <w:rsid w:val="002F1350"/>
    <w:rsid w:val="002F1BE0"/>
    <w:rsid w:val="002F2337"/>
    <w:rsid w:val="002F239D"/>
    <w:rsid w:val="002F27E2"/>
    <w:rsid w:val="002F3F39"/>
    <w:rsid w:val="002F5B71"/>
    <w:rsid w:val="002F63BE"/>
    <w:rsid w:val="00301328"/>
    <w:rsid w:val="00301E01"/>
    <w:rsid w:val="00302255"/>
    <w:rsid w:val="003027AC"/>
    <w:rsid w:val="00303B51"/>
    <w:rsid w:val="00303B80"/>
    <w:rsid w:val="00303F54"/>
    <w:rsid w:val="00307430"/>
    <w:rsid w:val="00307C10"/>
    <w:rsid w:val="00310DB9"/>
    <w:rsid w:val="003128A3"/>
    <w:rsid w:val="0031349A"/>
    <w:rsid w:val="00313853"/>
    <w:rsid w:val="0031575A"/>
    <w:rsid w:val="003162C9"/>
    <w:rsid w:val="003215E5"/>
    <w:rsid w:val="00321997"/>
    <w:rsid w:val="003224A1"/>
    <w:rsid w:val="00323771"/>
    <w:rsid w:val="00324FC8"/>
    <w:rsid w:val="00326F16"/>
    <w:rsid w:val="00327532"/>
    <w:rsid w:val="0033192D"/>
    <w:rsid w:val="00331E69"/>
    <w:rsid w:val="00332238"/>
    <w:rsid w:val="00332FB9"/>
    <w:rsid w:val="00333A10"/>
    <w:rsid w:val="00333BD3"/>
    <w:rsid w:val="00333EEB"/>
    <w:rsid w:val="003340E9"/>
    <w:rsid w:val="00335405"/>
    <w:rsid w:val="00335589"/>
    <w:rsid w:val="00336448"/>
    <w:rsid w:val="00341038"/>
    <w:rsid w:val="0034130A"/>
    <w:rsid w:val="0034201B"/>
    <w:rsid w:val="00342352"/>
    <w:rsid w:val="003431EE"/>
    <w:rsid w:val="0034363A"/>
    <w:rsid w:val="00343960"/>
    <w:rsid w:val="00346C6D"/>
    <w:rsid w:val="00347A99"/>
    <w:rsid w:val="00347E6B"/>
    <w:rsid w:val="00347E75"/>
    <w:rsid w:val="00360A0F"/>
    <w:rsid w:val="00361E21"/>
    <w:rsid w:val="003622B0"/>
    <w:rsid w:val="0036355A"/>
    <w:rsid w:val="003639BB"/>
    <w:rsid w:val="003639FB"/>
    <w:rsid w:val="00363E04"/>
    <w:rsid w:val="00366CF5"/>
    <w:rsid w:val="00367D0C"/>
    <w:rsid w:val="0037077C"/>
    <w:rsid w:val="003719CA"/>
    <w:rsid w:val="00371A49"/>
    <w:rsid w:val="00372B4B"/>
    <w:rsid w:val="00372B90"/>
    <w:rsid w:val="003749F4"/>
    <w:rsid w:val="00377B5E"/>
    <w:rsid w:val="003822F3"/>
    <w:rsid w:val="0038367F"/>
    <w:rsid w:val="003842AA"/>
    <w:rsid w:val="0038458B"/>
    <w:rsid w:val="00390A13"/>
    <w:rsid w:val="00390EAB"/>
    <w:rsid w:val="003912C2"/>
    <w:rsid w:val="0039150C"/>
    <w:rsid w:val="00391A1C"/>
    <w:rsid w:val="003927AC"/>
    <w:rsid w:val="00393037"/>
    <w:rsid w:val="00394D59"/>
    <w:rsid w:val="00394F5E"/>
    <w:rsid w:val="00395629"/>
    <w:rsid w:val="00396C11"/>
    <w:rsid w:val="00397FF1"/>
    <w:rsid w:val="003A0A63"/>
    <w:rsid w:val="003A4D64"/>
    <w:rsid w:val="003A57B6"/>
    <w:rsid w:val="003A6DAE"/>
    <w:rsid w:val="003B17A9"/>
    <w:rsid w:val="003B4EA8"/>
    <w:rsid w:val="003B4F11"/>
    <w:rsid w:val="003B766A"/>
    <w:rsid w:val="003C18C4"/>
    <w:rsid w:val="003C1988"/>
    <w:rsid w:val="003C43B0"/>
    <w:rsid w:val="003C546E"/>
    <w:rsid w:val="003D22BF"/>
    <w:rsid w:val="003D25F2"/>
    <w:rsid w:val="003D562D"/>
    <w:rsid w:val="003D5B5E"/>
    <w:rsid w:val="003E09EF"/>
    <w:rsid w:val="003E0B70"/>
    <w:rsid w:val="003E3129"/>
    <w:rsid w:val="003E3A8A"/>
    <w:rsid w:val="003E70F6"/>
    <w:rsid w:val="003E770D"/>
    <w:rsid w:val="003E7F06"/>
    <w:rsid w:val="003F00EF"/>
    <w:rsid w:val="003F244A"/>
    <w:rsid w:val="003F34BF"/>
    <w:rsid w:val="003F407D"/>
    <w:rsid w:val="003F4ADF"/>
    <w:rsid w:val="003F4E0B"/>
    <w:rsid w:val="004010D9"/>
    <w:rsid w:val="00402E83"/>
    <w:rsid w:val="004037AF"/>
    <w:rsid w:val="00404FCE"/>
    <w:rsid w:val="004079FC"/>
    <w:rsid w:val="004104E4"/>
    <w:rsid w:val="00411785"/>
    <w:rsid w:val="00413C71"/>
    <w:rsid w:val="00414F54"/>
    <w:rsid w:val="00416607"/>
    <w:rsid w:val="00416AC8"/>
    <w:rsid w:val="00420218"/>
    <w:rsid w:val="00422059"/>
    <w:rsid w:val="00422EE6"/>
    <w:rsid w:val="0042397C"/>
    <w:rsid w:val="00423A84"/>
    <w:rsid w:val="00424654"/>
    <w:rsid w:val="00426407"/>
    <w:rsid w:val="00430416"/>
    <w:rsid w:val="00432837"/>
    <w:rsid w:val="00435803"/>
    <w:rsid w:val="004367F9"/>
    <w:rsid w:val="00436D40"/>
    <w:rsid w:val="00437208"/>
    <w:rsid w:val="004428C0"/>
    <w:rsid w:val="004433B5"/>
    <w:rsid w:val="004447A6"/>
    <w:rsid w:val="004465BF"/>
    <w:rsid w:val="0045018F"/>
    <w:rsid w:val="00450372"/>
    <w:rsid w:val="0045265D"/>
    <w:rsid w:val="00452DAD"/>
    <w:rsid w:val="00453E13"/>
    <w:rsid w:val="00454B64"/>
    <w:rsid w:val="00455B13"/>
    <w:rsid w:val="00455ECE"/>
    <w:rsid w:val="0046064C"/>
    <w:rsid w:val="00460DD0"/>
    <w:rsid w:val="0046666A"/>
    <w:rsid w:val="00466AB6"/>
    <w:rsid w:val="00466B66"/>
    <w:rsid w:val="00472F94"/>
    <w:rsid w:val="0047412A"/>
    <w:rsid w:val="00475D71"/>
    <w:rsid w:val="00476E6E"/>
    <w:rsid w:val="0048018A"/>
    <w:rsid w:val="00480A85"/>
    <w:rsid w:val="004823B6"/>
    <w:rsid w:val="004844C5"/>
    <w:rsid w:val="00484B4C"/>
    <w:rsid w:val="00487112"/>
    <w:rsid w:val="004901F3"/>
    <w:rsid w:val="00491893"/>
    <w:rsid w:val="00493618"/>
    <w:rsid w:val="00494CA2"/>
    <w:rsid w:val="00494F15"/>
    <w:rsid w:val="00495758"/>
    <w:rsid w:val="00495BC0"/>
    <w:rsid w:val="004963DD"/>
    <w:rsid w:val="00497CD9"/>
    <w:rsid w:val="004A10BE"/>
    <w:rsid w:val="004A1CD7"/>
    <w:rsid w:val="004A41D8"/>
    <w:rsid w:val="004A462C"/>
    <w:rsid w:val="004A4FB7"/>
    <w:rsid w:val="004A62B9"/>
    <w:rsid w:val="004A6C92"/>
    <w:rsid w:val="004B3A05"/>
    <w:rsid w:val="004B3E7C"/>
    <w:rsid w:val="004C3065"/>
    <w:rsid w:val="004C32A3"/>
    <w:rsid w:val="004C3BA0"/>
    <w:rsid w:val="004C562B"/>
    <w:rsid w:val="004C6C94"/>
    <w:rsid w:val="004C6E7D"/>
    <w:rsid w:val="004C6F18"/>
    <w:rsid w:val="004D0187"/>
    <w:rsid w:val="004D1285"/>
    <w:rsid w:val="004D1CCF"/>
    <w:rsid w:val="004D242C"/>
    <w:rsid w:val="004D3452"/>
    <w:rsid w:val="004D5963"/>
    <w:rsid w:val="004D6714"/>
    <w:rsid w:val="004E04E8"/>
    <w:rsid w:val="004E0A2C"/>
    <w:rsid w:val="004E1514"/>
    <w:rsid w:val="004E1F22"/>
    <w:rsid w:val="004E3BAE"/>
    <w:rsid w:val="004E7232"/>
    <w:rsid w:val="004E7CEE"/>
    <w:rsid w:val="004F0909"/>
    <w:rsid w:val="004F452E"/>
    <w:rsid w:val="005005BF"/>
    <w:rsid w:val="00500B75"/>
    <w:rsid w:val="00501D33"/>
    <w:rsid w:val="00503AD4"/>
    <w:rsid w:val="005056C6"/>
    <w:rsid w:val="0050600F"/>
    <w:rsid w:val="00506166"/>
    <w:rsid w:val="00510613"/>
    <w:rsid w:val="005126F9"/>
    <w:rsid w:val="00513F05"/>
    <w:rsid w:val="00514B7D"/>
    <w:rsid w:val="0051784C"/>
    <w:rsid w:val="005205E4"/>
    <w:rsid w:val="005216A1"/>
    <w:rsid w:val="00523904"/>
    <w:rsid w:val="00524000"/>
    <w:rsid w:val="00524D73"/>
    <w:rsid w:val="005271DE"/>
    <w:rsid w:val="00527692"/>
    <w:rsid w:val="005304E4"/>
    <w:rsid w:val="0053370B"/>
    <w:rsid w:val="005343D4"/>
    <w:rsid w:val="0053527D"/>
    <w:rsid w:val="00536D42"/>
    <w:rsid w:val="0053749B"/>
    <w:rsid w:val="0053759B"/>
    <w:rsid w:val="00541C7E"/>
    <w:rsid w:val="005438A3"/>
    <w:rsid w:val="00544C4C"/>
    <w:rsid w:val="00544FF5"/>
    <w:rsid w:val="005455BF"/>
    <w:rsid w:val="00546F20"/>
    <w:rsid w:val="00550726"/>
    <w:rsid w:val="00550AFB"/>
    <w:rsid w:val="00550F67"/>
    <w:rsid w:val="00551897"/>
    <w:rsid w:val="00552063"/>
    <w:rsid w:val="005525A2"/>
    <w:rsid w:val="00552DF0"/>
    <w:rsid w:val="005569D0"/>
    <w:rsid w:val="00557168"/>
    <w:rsid w:val="00557897"/>
    <w:rsid w:val="00557B8F"/>
    <w:rsid w:val="00562CEC"/>
    <w:rsid w:val="005638B1"/>
    <w:rsid w:val="005670D0"/>
    <w:rsid w:val="005677E4"/>
    <w:rsid w:val="00570769"/>
    <w:rsid w:val="00572414"/>
    <w:rsid w:val="00573E4E"/>
    <w:rsid w:val="00573F96"/>
    <w:rsid w:val="005760F4"/>
    <w:rsid w:val="005766E5"/>
    <w:rsid w:val="00580755"/>
    <w:rsid w:val="00580861"/>
    <w:rsid w:val="00583E4C"/>
    <w:rsid w:val="00584146"/>
    <w:rsid w:val="00584E17"/>
    <w:rsid w:val="00585D57"/>
    <w:rsid w:val="005864F4"/>
    <w:rsid w:val="005865C0"/>
    <w:rsid w:val="005927C5"/>
    <w:rsid w:val="005945CA"/>
    <w:rsid w:val="00596386"/>
    <w:rsid w:val="0059642C"/>
    <w:rsid w:val="005A0112"/>
    <w:rsid w:val="005A0F44"/>
    <w:rsid w:val="005A1B2C"/>
    <w:rsid w:val="005A2694"/>
    <w:rsid w:val="005A29C5"/>
    <w:rsid w:val="005A3B71"/>
    <w:rsid w:val="005A5E83"/>
    <w:rsid w:val="005A697C"/>
    <w:rsid w:val="005B091C"/>
    <w:rsid w:val="005B232D"/>
    <w:rsid w:val="005B3D3F"/>
    <w:rsid w:val="005B3D4F"/>
    <w:rsid w:val="005B3D58"/>
    <w:rsid w:val="005B4453"/>
    <w:rsid w:val="005B535D"/>
    <w:rsid w:val="005B6B71"/>
    <w:rsid w:val="005C2FF1"/>
    <w:rsid w:val="005C4E9F"/>
    <w:rsid w:val="005D0930"/>
    <w:rsid w:val="005D2EC3"/>
    <w:rsid w:val="005E0ED7"/>
    <w:rsid w:val="005E3056"/>
    <w:rsid w:val="005E4DC4"/>
    <w:rsid w:val="005E6109"/>
    <w:rsid w:val="005E64A4"/>
    <w:rsid w:val="005E6503"/>
    <w:rsid w:val="005E7D10"/>
    <w:rsid w:val="005F16C7"/>
    <w:rsid w:val="005F2923"/>
    <w:rsid w:val="005F3129"/>
    <w:rsid w:val="005F3291"/>
    <w:rsid w:val="005F3645"/>
    <w:rsid w:val="005F505F"/>
    <w:rsid w:val="005F52FC"/>
    <w:rsid w:val="005F6178"/>
    <w:rsid w:val="00600164"/>
    <w:rsid w:val="0060017E"/>
    <w:rsid w:val="006019C6"/>
    <w:rsid w:val="0060285F"/>
    <w:rsid w:val="00603CE2"/>
    <w:rsid w:val="00610AE9"/>
    <w:rsid w:val="00610BC7"/>
    <w:rsid w:val="006112B8"/>
    <w:rsid w:val="00611D45"/>
    <w:rsid w:val="006156C5"/>
    <w:rsid w:val="00617014"/>
    <w:rsid w:val="00617AE4"/>
    <w:rsid w:val="00620D0F"/>
    <w:rsid w:val="00621DD6"/>
    <w:rsid w:val="006253FF"/>
    <w:rsid w:val="006256D6"/>
    <w:rsid w:val="00630598"/>
    <w:rsid w:val="00630BFA"/>
    <w:rsid w:val="00631126"/>
    <w:rsid w:val="00631DED"/>
    <w:rsid w:val="006342C6"/>
    <w:rsid w:val="00634855"/>
    <w:rsid w:val="00636144"/>
    <w:rsid w:val="00640814"/>
    <w:rsid w:val="006424D3"/>
    <w:rsid w:val="00647949"/>
    <w:rsid w:val="00650386"/>
    <w:rsid w:val="00650E43"/>
    <w:rsid w:val="0065120E"/>
    <w:rsid w:val="00655220"/>
    <w:rsid w:val="00655D9C"/>
    <w:rsid w:val="00661350"/>
    <w:rsid w:val="00661A73"/>
    <w:rsid w:val="00662B78"/>
    <w:rsid w:val="00664945"/>
    <w:rsid w:val="006652B5"/>
    <w:rsid w:val="00666B2B"/>
    <w:rsid w:val="00667AAD"/>
    <w:rsid w:val="00671698"/>
    <w:rsid w:val="00672684"/>
    <w:rsid w:val="00672DD1"/>
    <w:rsid w:val="0067490B"/>
    <w:rsid w:val="00674C73"/>
    <w:rsid w:val="00674E7F"/>
    <w:rsid w:val="00675E39"/>
    <w:rsid w:val="00681F3D"/>
    <w:rsid w:val="006820BD"/>
    <w:rsid w:val="0068404E"/>
    <w:rsid w:val="00687137"/>
    <w:rsid w:val="00690457"/>
    <w:rsid w:val="00690A9C"/>
    <w:rsid w:val="006913AD"/>
    <w:rsid w:val="00693624"/>
    <w:rsid w:val="0069474C"/>
    <w:rsid w:val="00695590"/>
    <w:rsid w:val="0069600C"/>
    <w:rsid w:val="006966A7"/>
    <w:rsid w:val="006970FC"/>
    <w:rsid w:val="006971B6"/>
    <w:rsid w:val="00697721"/>
    <w:rsid w:val="00697C49"/>
    <w:rsid w:val="006A0599"/>
    <w:rsid w:val="006A0A84"/>
    <w:rsid w:val="006A16D1"/>
    <w:rsid w:val="006A239E"/>
    <w:rsid w:val="006A387E"/>
    <w:rsid w:val="006A43E5"/>
    <w:rsid w:val="006A57BB"/>
    <w:rsid w:val="006A6B3F"/>
    <w:rsid w:val="006B063D"/>
    <w:rsid w:val="006B06A4"/>
    <w:rsid w:val="006B278F"/>
    <w:rsid w:val="006B28D1"/>
    <w:rsid w:val="006B3AAE"/>
    <w:rsid w:val="006B51CC"/>
    <w:rsid w:val="006B7802"/>
    <w:rsid w:val="006B7B35"/>
    <w:rsid w:val="006C23CF"/>
    <w:rsid w:val="006C3BDD"/>
    <w:rsid w:val="006D38FC"/>
    <w:rsid w:val="006D4502"/>
    <w:rsid w:val="006D4E37"/>
    <w:rsid w:val="006D64B7"/>
    <w:rsid w:val="006D75F5"/>
    <w:rsid w:val="006E0713"/>
    <w:rsid w:val="006E0FFA"/>
    <w:rsid w:val="006E184A"/>
    <w:rsid w:val="006E1F02"/>
    <w:rsid w:val="006E3A08"/>
    <w:rsid w:val="006E5711"/>
    <w:rsid w:val="006E5E6A"/>
    <w:rsid w:val="006E6075"/>
    <w:rsid w:val="006E73F9"/>
    <w:rsid w:val="006F1F7C"/>
    <w:rsid w:val="006F4037"/>
    <w:rsid w:val="006F61F5"/>
    <w:rsid w:val="006F7265"/>
    <w:rsid w:val="00701728"/>
    <w:rsid w:val="0070445F"/>
    <w:rsid w:val="00705AC1"/>
    <w:rsid w:val="00705AFA"/>
    <w:rsid w:val="00706AA6"/>
    <w:rsid w:val="00706EA4"/>
    <w:rsid w:val="00707C91"/>
    <w:rsid w:val="007146F8"/>
    <w:rsid w:val="007149FD"/>
    <w:rsid w:val="00716B5B"/>
    <w:rsid w:val="007172A9"/>
    <w:rsid w:val="007225F6"/>
    <w:rsid w:val="0072327C"/>
    <w:rsid w:val="00723FE5"/>
    <w:rsid w:val="0072445F"/>
    <w:rsid w:val="00724C96"/>
    <w:rsid w:val="00726A0D"/>
    <w:rsid w:val="00726B42"/>
    <w:rsid w:val="007302F4"/>
    <w:rsid w:val="00732E0A"/>
    <w:rsid w:val="00733A2E"/>
    <w:rsid w:val="007349BF"/>
    <w:rsid w:val="007349C0"/>
    <w:rsid w:val="00737E8D"/>
    <w:rsid w:val="00741207"/>
    <w:rsid w:val="007427BC"/>
    <w:rsid w:val="007434EE"/>
    <w:rsid w:val="00743B9A"/>
    <w:rsid w:val="00743BED"/>
    <w:rsid w:val="00746BB6"/>
    <w:rsid w:val="00747F22"/>
    <w:rsid w:val="0075044B"/>
    <w:rsid w:val="00751697"/>
    <w:rsid w:val="00751F47"/>
    <w:rsid w:val="00752B1A"/>
    <w:rsid w:val="00752DDA"/>
    <w:rsid w:val="00753667"/>
    <w:rsid w:val="0075440D"/>
    <w:rsid w:val="007546B5"/>
    <w:rsid w:val="00756379"/>
    <w:rsid w:val="0075678D"/>
    <w:rsid w:val="00757910"/>
    <w:rsid w:val="00761590"/>
    <w:rsid w:val="0076549C"/>
    <w:rsid w:val="00765E9C"/>
    <w:rsid w:val="00766E52"/>
    <w:rsid w:val="007676E5"/>
    <w:rsid w:val="00770985"/>
    <w:rsid w:val="007726E8"/>
    <w:rsid w:val="00772B65"/>
    <w:rsid w:val="00775661"/>
    <w:rsid w:val="00776BA9"/>
    <w:rsid w:val="007772AF"/>
    <w:rsid w:val="007817E8"/>
    <w:rsid w:val="00781BE1"/>
    <w:rsid w:val="00781E28"/>
    <w:rsid w:val="0078522E"/>
    <w:rsid w:val="00785AE5"/>
    <w:rsid w:val="0078684C"/>
    <w:rsid w:val="00790233"/>
    <w:rsid w:val="00792A89"/>
    <w:rsid w:val="00792EC4"/>
    <w:rsid w:val="007944DD"/>
    <w:rsid w:val="0079553D"/>
    <w:rsid w:val="007966A7"/>
    <w:rsid w:val="00796D49"/>
    <w:rsid w:val="007A05F8"/>
    <w:rsid w:val="007A064A"/>
    <w:rsid w:val="007A08DD"/>
    <w:rsid w:val="007A1D01"/>
    <w:rsid w:val="007A3837"/>
    <w:rsid w:val="007A5133"/>
    <w:rsid w:val="007B1D07"/>
    <w:rsid w:val="007B2036"/>
    <w:rsid w:val="007B3365"/>
    <w:rsid w:val="007B79EF"/>
    <w:rsid w:val="007C6C38"/>
    <w:rsid w:val="007C787C"/>
    <w:rsid w:val="007D228F"/>
    <w:rsid w:val="007D29D3"/>
    <w:rsid w:val="007D42CD"/>
    <w:rsid w:val="007D4439"/>
    <w:rsid w:val="007D62CA"/>
    <w:rsid w:val="007D7252"/>
    <w:rsid w:val="007D770E"/>
    <w:rsid w:val="007E205E"/>
    <w:rsid w:val="007E2E49"/>
    <w:rsid w:val="007E3250"/>
    <w:rsid w:val="007E3A15"/>
    <w:rsid w:val="007E4DBA"/>
    <w:rsid w:val="007E570C"/>
    <w:rsid w:val="007E5CBD"/>
    <w:rsid w:val="007E6697"/>
    <w:rsid w:val="007E66B9"/>
    <w:rsid w:val="007F0551"/>
    <w:rsid w:val="007F1978"/>
    <w:rsid w:val="007F1EEC"/>
    <w:rsid w:val="007F2105"/>
    <w:rsid w:val="007F2A58"/>
    <w:rsid w:val="007F2B58"/>
    <w:rsid w:val="007F2E98"/>
    <w:rsid w:val="007F4C49"/>
    <w:rsid w:val="007F551E"/>
    <w:rsid w:val="008011F7"/>
    <w:rsid w:val="00801CA3"/>
    <w:rsid w:val="00802243"/>
    <w:rsid w:val="00802AF0"/>
    <w:rsid w:val="00807A91"/>
    <w:rsid w:val="0081104B"/>
    <w:rsid w:val="008118F7"/>
    <w:rsid w:val="00811A83"/>
    <w:rsid w:val="008124AA"/>
    <w:rsid w:val="00814079"/>
    <w:rsid w:val="00814F46"/>
    <w:rsid w:val="008152F2"/>
    <w:rsid w:val="00816C5E"/>
    <w:rsid w:val="00817E0F"/>
    <w:rsid w:val="00820127"/>
    <w:rsid w:val="008209D5"/>
    <w:rsid w:val="00821F9E"/>
    <w:rsid w:val="008221A7"/>
    <w:rsid w:val="00822BEB"/>
    <w:rsid w:val="00823A14"/>
    <w:rsid w:val="00825030"/>
    <w:rsid w:val="00825088"/>
    <w:rsid w:val="00825AD4"/>
    <w:rsid w:val="00826B85"/>
    <w:rsid w:val="00827559"/>
    <w:rsid w:val="00827AD1"/>
    <w:rsid w:val="008304CD"/>
    <w:rsid w:val="008329D8"/>
    <w:rsid w:val="00833CA6"/>
    <w:rsid w:val="00833E66"/>
    <w:rsid w:val="008345EA"/>
    <w:rsid w:val="00835025"/>
    <w:rsid w:val="0083765B"/>
    <w:rsid w:val="0084056E"/>
    <w:rsid w:val="00841397"/>
    <w:rsid w:val="00842DF9"/>
    <w:rsid w:val="00843F79"/>
    <w:rsid w:val="0084607C"/>
    <w:rsid w:val="0084681F"/>
    <w:rsid w:val="00850895"/>
    <w:rsid w:val="008516B2"/>
    <w:rsid w:val="00853A3A"/>
    <w:rsid w:val="008544B6"/>
    <w:rsid w:val="00855B74"/>
    <w:rsid w:val="0085609B"/>
    <w:rsid w:val="00861394"/>
    <w:rsid w:val="00861C4E"/>
    <w:rsid w:val="00866839"/>
    <w:rsid w:val="008670D8"/>
    <w:rsid w:val="0087013C"/>
    <w:rsid w:val="00873621"/>
    <w:rsid w:val="00873ED4"/>
    <w:rsid w:val="00873F35"/>
    <w:rsid w:val="00875C8A"/>
    <w:rsid w:val="00875CCC"/>
    <w:rsid w:val="00880872"/>
    <w:rsid w:val="00882C96"/>
    <w:rsid w:val="0088502A"/>
    <w:rsid w:val="00887A4C"/>
    <w:rsid w:val="00887B78"/>
    <w:rsid w:val="00893A91"/>
    <w:rsid w:val="00893B00"/>
    <w:rsid w:val="008A1D30"/>
    <w:rsid w:val="008A2801"/>
    <w:rsid w:val="008A3E40"/>
    <w:rsid w:val="008A4B90"/>
    <w:rsid w:val="008A6330"/>
    <w:rsid w:val="008A6E65"/>
    <w:rsid w:val="008A705A"/>
    <w:rsid w:val="008B2369"/>
    <w:rsid w:val="008B479A"/>
    <w:rsid w:val="008B69AA"/>
    <w:rsid w:val="008C016D"/>
    <w:rsid w:val="008C0809"/>
    <w:rsid w:val="008C182E"/>
    <w:rsid w:val="008C1A86"/>
    <w:rsid w:val="008C5F9A"/>
    <w:rsid w:val="008C63B3"/>
    <w:rsid w:val="008C65FC"/>
    <w:rsid w:val="008D29D2"/>
    <w:rsid w:val="008D448D"/>
    <w:rsid w:val="008D5B21"/>
    <w:rsid w:val="008E18AB"/>
    <w:rsid w:val="008E230E"/>
    <w:rsid w:val="008E3DC2"/>
    <w:rsid w:val="008E4A8A"/>
    <w:rsid w:val="008E5294"/>
    <w:rsid w:val="008F4BB9"/>
    <w:rsid w:val="00900120"/>
    <w:rsid w:val="0090177B"/>
    <w:rsid w:val="00901CAA"/>
    <w:rsid w:val="00901F33"/>
    <w:rsid w:val="009028B7"/>
    <w:rsid w:val="00902C9A"/>
    <w:rsid w:val="00902F39"/>
    <w:rsid w:val="00903F04"/>
    <w:rsid w:val="00904569"/>
    <w:rsid w:val="00914CC6"/>
    <w:rsid w:val="009160EA"/>
    <w:rsid w:val="00917FAA"/>
    <w:rsid w:val="009204D7"/>
    <w:rsid w:val="009223ED"/>
    <w:rsid w:val="00924FE4"/>
    <w:rsid w:val="00925B8F"/>
    <w:rsid w:val="00925E25"/>
    <w:rsid w:val="00927BCE"/>
    <w:rsid w:val="009300FE"/>
    <w:rsid w:val="00930845"/>
    <w:rsid w:val="00931C23"/>
    <w:rsid w:val="00931E52"/>
    <w:rsid w:val="00936060"/>
    <w:rsid w:val="00937B4D"/>
    <w:rsid w:val="0094071E"/>
    <w:rsid w:val="009420EE"/>
    <w:rsid w:val="00942F72"/>
    <w:rsid w:val="00943A50"/>
    <w:rsid w:val="00946559"/>
    <w:rsid w:val="009476A8"/>
    <w:rsid w:val="00950448"/>
    <w:rsid w:val="00950C48"/>
    <w:rsid w:val="00950E6D"/>
    <w:rsid w:val="00953C86"/>
    <w:rsid w:val="00960137"/>
    <w:rsid w:val="00960BE7"/>
    <w:rsid w:val="009629F8"/>
    <w:rsid w:val="009646D0"/>
    <w:rsid w:val="00964ECE"/>
    <w:rsid w:val="00965408"/>
    <w:rsid w:val="00966B81"/>
    <w:rsid w:val="00966C0B"/>
    <w:rsid w:val="00972B27"/>
    <w:rsid w:val="00974A0D"/>
    <w:rsid w:val="00974E7C"/>
    <w:rsid w:val="0097694B"/>
    <w:rsid w:val="00977301"/>
    <w:rsid w:val="00977463"/>
    <w:rsid w:val="00980E23"/>
    <w:rsid w:val="00983262"/>
    <w:rsid w:val="00984110"/>
    <w:rsid w:val="00985B35"/>
    <w:rsid w:val="00986073"/>
    <w:rsid w:val="009913A9"/>
    <w:rsid w:val="00995EB6"/>
    <w:rsid w:val="00996D42"/>
    <w:rsid w:val="009A17A5"/>
    <w:rsid w:val="009A2003"/>
    <w:rsid w:val="009A2CC8"/>
    <w:rsid w:val="009A32A2"/>
    <w:rsid w:val="009A55F6"/>
    <w:rsid w:val="009A593F"/>
    <w:rsid w:val="009A7B47"/>
    <w:rsid w:val="009B0F6A"/>
    <w:rsid w:val="009B3459"/>
    <w:rsid w:val="009B51E0"/>
    <w:rsid w:val="009C056B"/>
    <w:rsid w:val="009C4252"/>
    <w:rsid w:val="009C46F2"/>
    <w:rsid w:val="009C4BE0"/>
    <w:rsid w:val="009C541F"/>
    <w:rsid w:val="009D0176"/>
    <w:rsid w:val="009D1675"/>
    <w:rsid w:val="009D2D53"/>
    <w:rsid w:val="009D2DC2"/>
    <w:rsid w:val="009D4B0F"/>
    <w:rsid w:val="009D4CF0"/>
    <w:rsid w:val="009D7379"/>
    <w:rsid w:val="009E19F6"/>
    <w:rsid w:val="009E3264"/>
    <w:rsid w:val="009F0A46"/>
    <w:rsid w:val="009F0A6E"/>
    <w:rsid w:val="009F1A00"/>
    <w:rsid w:val="009F47E3"/>
    <w:rsid w:val="009F5195"/>
    <w:rsid w:val="009F5496"/>
    <w:rsid w:val="00A02A53"/>
    <w:rsid w:val="00A03BC2"/>
    <w:rsid w:val="00A0443A"/>
    <w:rsid w:val="00A04872"/>
    <w:rsid w:val="00A059A6"/>
    <w:rsid w:val="00A10101"/>
    <w:rsid w:val="00A130C9"/>
    <w:rsid w:val="00A13BC8"/>
    <w:rsid w:val="00A15958"/>
    <w:rsid w:val="00A173E4"/>
    <w:rsid w:val="00A21F65"/>
    <w:rsid w:val="00A23091"/>
    <w:rsid w:val="00A2318C"/>
    <w:rsid w:val="00A2338A"/>
    <w:rsid w:val="00A244D6"/>
    <w:rsid w:val="00A2537A"/>
    <w:rsid w:val="00A26118"/>
    <w:rsid w:val="00A26E24"/>
    <w:rsid w:val="00A278E1"/>
    <w:rsid w:val="00A323C2"/>
    <w:rsid w:val="00A34251"/>
    <w:rsid w:val="00A3523D"/>
    <w:rsid w:val="00A403C3"/>
    <w:rsid w:val="00A40854"/>
    <w:rsid w:val="00A42F3D"/>
    <w:rsid w:val="00A43C34"/>
    <w:rsid w:val="00A4765E"/>
    <w:rsid w:val="00A47789"/>
    <w:rsid w:val="00A5117E"/>
    <w:rsid w:val="00A519D9"/>
    <w:rsid w:val="00A54F07"/>
    <w:rsid w:val="00A57699"/>
    <w:rsid w:val="00A6174C"/>
    <w:rsid w:val="00A64360"/>
    <w:rsid w:val="00A6466D"/>
    <w:rsid w:val="00A64B54"/>
    <w:rsid w:val="00A64C36"/>
    <w:rsid w:val="00A655CE"/>
    <w:rsid w:val="00A65962"/>
    <w:rsid w:val="00A66591"/>
    <w:rsid w:val="00A670F8"/>
    <w:rsid w:val="00A67654"/>
    <w:rsid w:val="00A708F1"/>
    <w:rsid w:val="00A7133A"/>
    <w:rsid w:val="00A722EB"/>
    <w:rsid w:val="00A72FEF"/>
    <w:rsid w:val="00A73486"/>
    <w:rsid w:val="00A73B37"/>
    <w:rsid w:val="00A73EF4"/>
    <w:rsid w:val="00A742C8"/>
    <w:rsid w:val="00A7466F"/>
    <w:rsid w:val="00A7469E"/>
    <w:rsid w:val="00A76431"/>
    <w:rsid w:val="00A768AC"/>
    <w:rsid w:val="00A77161"/>
    <w:rsid w:val="00A77453"/>
    <w:rsid w:val="00A80C12"/>
    <w:rsid w:val="00A82EB1"/>
    <w:rsid w:val="00A84257"/>
    <w:rsid w:val="00A86DF5"/>
    <w:rsid w:val="00A8775F"/>
    <w:rsid w:val="00A91199"/>
    <w:rsid w:val="00A928FB"/>
    <w:rsid w:val="00A92B73"/>
    <w:rsid w:val="00A92F40"/>
    <w:rsid w:val="00A9433C"/>
    <w:rsid w:val="00A94F98"/>
    <w:rsid w:val="00A97EBE"/>
    <w:rsid w:val="00AA3DBA"/>
    <w:rsid w:val="00AA4C93"/>
    <w:rsid w:val="00AA5B0C"/>
    <w:rsid w:val="00AA5D09"/>
    <w:rsid w:val="00AB0D62"/>
    <w:rsid w:val="00AB0E65"/>
    <w:rsid w:val="00AB381E"/>
    <w:rsid w:val="00AB387A"/>
    <w:rsid w:val="00AB3913"/>
    <w:rsid w:val="00AB3C4A"/>
    <w:rsid w:val="00AC119D"/>
    <w:rsid w:val="00AC2F44"/>
    <w:rsid w:val="00AC36A9"/>
    <w:rsid w:val="00AC4243"/>
    <w:rsid w:val="00AC42D6"/>
    <w:rsid w:val="00AC4403"/>
    <w:rsid w:val="00AC4EDB"/>
    <w:rsid w:val="00AC58A4"/>
    <w:rsid w:val="00AC5CCC"/>
    <w:rsid w:val="00AD10F7"/>
    <w:rsid w:val="00AD3759"/>
    <w:rsid w:val="00AD4170"/>
    <w:rsid w:val="00AD4725"/>
    <w:rsid w:val="00AD509A"/>
    <w:rsid w:val="00AD58CA"/>
    <w:rsid w:val="00AD59EF"/>
    <w:rsid w:val="00AD5D32"/>
    <w:rsid w:val="00AD7169"/>
    <w:rsid w:val="00AE0A6A"/>
    <w:rsid w:val="00AE20D8"/>
    <w:rsid w:val="00AE35DF"/>
    <w:rsid w:val="00AE3B55"/>
    <w:rsid w:val="00AE4169"/>
    <w:rsid w:val="00AE61F7"/>
    <w:rsid w:val="00AF0793"/>
    <w:rsid w:val="00AF0FE0"/>
    <w:rsid w:val="00AF4DE2"/>
    <w:rsid w:val="00AF522E"/>
    <w:rsid w:val="00AF77C5"/>
    <w:rsid w:val="00AF7B9E"/>
    <w:rsid w:val="00B00D42"/>
    <w:rsid w:val="00B023A1"/>
    <w:rsid w:val="00B0628E"/>
    <w:rsid w:val="00B11BFC"/>
    <w:rsid w:val="00B12F44"/>
    <w:rsid w:val="00B141C1"/>
    <w:rsid w:val="00B152B9"/>
    <w:rsid w:val="00B17584"/>
    <w:rsid w:val="00B17EB9"/>
    <w:rsid w:val="00B22CC6"/>
    <w:rsid w:val="00B22FBC"/>
    <w:rsid w:val="00B25DA9"/>
    <w:rsid w:val="00B25E64"/>
    <w:rsid w:val="00B260E1"/>
    <w:rsid w:val="00B27335"/>
    <w:rsid w:val="00B27FAB"/>
    <w:rsid w:val="00B320DE"/>
    <w:rsid w:val="00B32721"/>
    <w:rsid w:val="00B3528B"/>
    <w:rsid w:val="00B35A02"/>
    <w:rsid w:val="00B373A4"/>
    <w:rsid w:val="00B37BAD"/>
    <w:rsid w:val="00B42A48"/>
    <w:rsid w:val="00B42C78"/>
    <w:rsid w:val="00B438BE"/>
    <w:rsid w:val="00B4552B"/>
    <w:rsid w:val="00B5000B"/>
    <w:rsid w:val="00B503A9"/>
    <w:rsid w:val="00B51366"/>
    <w:rsid w:val="00B521EA"/>
    <w:rsid w:val="00B52A0D"/>
    <w:rsid w:val="00B54F9C"/>
    <w:rsid w:val="00B552B9"/>
    <w:rsid w:val="00B6038E"/>
    <w:rsid w:val="00B60E52"/>
    <w:rsid w:val="00B62A17"/>
    <w:rsid w:val="00B638B4"/>
    <w:rsid w:val="00B63E6B"/>
    <w:rsid w:val="00B63EFB"/>
    <w:rsid w:val="00B64392"/>
    <w:rsid w:val="00B7097C"/>
    <w:rsid w:val="00B71E2A"/>
    <w:rsid w:val="00B722B0"/>
    <w:rsid w:val="00B72E26"/>
    <w:rsid w:val="00B73570"/>
    <w:rsid w:val="00B73FF6"/>
    <w:rsid w:val="00B74511"/>
    <w:rsid w:val="00B750A0"/>
    <w:rsid w:val="00B75BC9"/>
    <w:rsid w:val="00B77C47"/>
    <w:rsid w:val="00B80A50"/>
    <w:rsid w:val="00B816BC"/>
    <w:rsid w:val="00B84B6D"/>
    <w:rsid w:val="00B85138"/>
    <w:rsid w:val="00B85894"/>
    <w:rsid w:val="00B87B77"/>
    <w:rsid w:val="00B90485"/>
    <w:rsid w:val="00B92100"/>
    <w:rsid w:val="00B94102"/>
    <w:rsid w:val="00BA013A"/>
    <w:rsid w:val="00BA0987"/>
    <w:rsid w:val="00BA0A8D"/>
    <w:rsid w:val="00BA1FCE"/>
    <w:rsid w:val="00BA66BC"/>
    <w:rsid w:val="00BA7007"/>
    <w:rsid w:val="00BB133C"/>
    <w:rsid w:val="00BB1424"/>
    <w:rsid w:val="00BB2F0F"/>
    <w:rsid w:val="00BB5835"/>
    <w:rsid w:val="00BB5B95"/>
    <w:rsid w:val="00BC0B19"/>
    <w:rsid w:val="00BC1610"/>
    <w:rsid w:val="00BC3CB3"/>
    <w:rsid w:val="00BC47E6"/>
    <w:rsid w:val="00BC6D83"/>
    <w:rsid w:val="00BC6E24"/>
    <w:rsid w:val="00BD076D"/>
    <w:rsid w:val="00BD1681"/>
    <w:rsid w:val="00BD1B99"/>
    <w:rsid w:val="00BD3E00"/>
    <w:rsid w:val="00BD3F8C"/>
    <w:rsid w:val="00BD5B71"/>
    <w:rsid w:val="00BD5F8B"/>
    <w:rsid w:val="00BD6D9D"/>
    <w:rsid w:val="00BD71C6"/>
    <w:rsid w:val="00BE0456"/>
    <w:rsid w:val="00BE2B80"/>
    <w:rsid w:val="00BE58F4"/>
    <w:rsid w:val="00BE74F0"/>
    <w:rsid w:val="00BF05D1"/>
    <w:rsid w:val="00BF1972"/>
    <w:rsid w:val="00BF1DBE"/>
    <w:rsid w:val="00BF3123"/>
    <w:rsid w:val="00BF399F"/>
    <w:rsid w:val="00BF440A"/>
    <w:rsid w:val="00BF4562"/>
    <w:rsid w:val="00BF4E23"/>
    <w:rsid w:val="00BF646A"/>
    <w:rsid w:val="00BF7262"/>
    <w:rsid w:val="00C0000E"/>
    <w:rsid w:val="00C016D2"/>
    <w:rsid w:val="00C01A5B"/>
    <w:rsid w:val="00C03093"/>
    <w:rsid w:val="00C03240"/>
    <w:rsid w:val="00C06592"/>
    <w:rsid w:val="00C10E03"/>
    <w:rsid w:val="00C112E8"/>
    <w:rsid w:val="00C13BB1"/>
    <w:rsid w:val="00C211B7"/>
    <w:rsid w:val="00C216A0"/>
    <w:rsid w:val="00C26F2C"/>
    <w:rsid w:val="00C2717C"/>
    <w:rsid w:val="00C272C9"/>
    <w:rsid w:val="00C306D8"/>
    <w:rsid w:val="00C325C1"/>
    <w:rsid w:val="00C33D8C"/>
    <w:rsid w:val="00C3503B"/>
    <w:rsid w:val="00C36B11"/>
    <w:rsid w:val="00C372C2"/>
    <w:rsid w:val="00C44B1C"/>
    <w:rsid w:val="00C45302"/>
    <w:rsid w:val="00C46C0F"/>
    <w:rsid w:val="00C47AFB"/>
    <w:rsid w:val="00C52475"/>
    <w:rsid w:val="00C53450"/>
    <w:rsid w:val="00C53EAB"/>
    <w:rsid w:val="00C57EFD"/>
    <w:rsid w:val="00C60FF3"/>
    <w:rsid w:val="00C61293"/>
    <w:rsid w:val="00C61601"/>
    <w:rsid w:val="00C63922"/>
    <w:rsid w:val="00C65E96"/>
    <w:rsid w:val="00C66073"/>
    <w:rsid w:val="00C66975"/>
    <w:rsid w:val="00C675F0"/>
    <w:rsid w:val="00C710CE"/>
    <w:rsid w:val="00C71FD7"/>
    <w:rsid w:val="00C74B6D"/>
    <w:rsid w:val="00C75AFC"/>
    <w:rsid w:val="00C769C9"/>
    <w:rsid w:val="00C7755D"/>
    <w:rsid w:val="00C77EAF"/>
    <w:rsid w:val="00C82B8F"/>
    <w:rsid w:val="00C82F02"/>
    <w:rsid w:val="00C82FB8"/>
    <w:rsid w:val="00C83EFC"/>
    <w:rsid w:val="00C85B8C"/>
    <w:rsid w:val="00C87629"/>
    <w:rsid w:val="00C9294A"/>
    <w:rsid w:val="00C92B7B"/>
    <w:rsid w:val="00C94EBD"/>
    <w:rsid w:val="00C9750B"/>
    <w:rsid w:val="00C977EC"/>
    <w:rsid w:val="00C97F9B"/>
    <w:rsid w:val="00CA1727"/>
    <w:rsid w:val="00CA2C0F"/>
    <w:rsid w:val="00CA2C3D"/>
    <w:rsid w:val="00CA364E"/>
    <w:rsid w:val="00CA3724"/>
    <w:rsid w:val="00CA6AE9"/>
    <w:rsid w:val="00CA6E88"/>
    <w:rsid w:val="00CA7721"/>
    <w:rsid w:val="00CB04C3"/>
    <w:rsid w:val="00CB18C5"/>
    <w:rsid w:val="00CB1A91"/>
    <w:rsid w:val="00CB39DE"/>
    <w:rsid w:val="00CB4934"/>
    <w:rsid w:val="00CB5014"/>
    <w:rsid w:val="00CB7AD0"/>
    <w:rsid w:val="00CC0769"/>
    <w:rsid w:val="00CC1068"/>
    <w:rsid w:val="00CC2AA9"/>
    <w:rsid w:val="00CC68F4"/>
    <w:rsid w:val="00CD0DE2"/>
    <w:rsid w:val="00CD26BF"/>
    <w:rsid w:val="00CD2890"/>
    <w:rsid w:val="00CD2BA2"/>
    <w:rsid w:val="00CD3E04"/>
    <w:rsid w:val="00CD4372"/>
    <w:rsid w:val="00CD6A85"/>
    <w:rsid w:val="00CE01FF"/>
    <w:rsid w:val="00CE0B26"/>
    <w:rsid w:val="00CE0F00"/>
    <w:rsid w:val="00CE21D4"/>
    <w:rsid w:val="00CE4275"/>
    <w:rsid w:val="00CE496C"/>
    <w:rsid w:val="00CE4D11"/>
    <w:rsid w:val="00CE621C"/>
    <w:rsid w:val="00CE6FE4"/>
    <w:rsid w:val="00CE7972"/>
    <w:rsid w:val="00CF219A"/>
    <w:rsid w:val="00CF3424"/>
    <w:rsid w:val="00CF3EDD"/>
    <w:rsid w:val="00CF43B6"/>
    <w:rsid w:val="00CF73DF"/>
    <w:rsid w:val="00D01175"/>
    <w:rsid w:val="00D02557"/>
    <w:rsid w:val="00D03C04"/>
    <w:rsid w:val="00D063F9"/>
    <w:rsid w:val="00D114E8"/>
    <w:rsid w:val="00D1409C"/>
    <w:rsid w:val="00D1534C"/>
    <w:rsid w:val="00D15BCB"/>
    <w:rsid w:val="00D162F3"/>
    <w:rsid w:val="00D16E9F"/>
    <w:rsid w:val="00D23007"/>
    <w:rsid w:val="00D242D9"/>
    <w:rsid w:val="00D25EFB"/>
    <w:rsid w:val="00D27BB1"/>
    <w:rsid w:val="00D300EB"/>
    <w:rsid w:val="00D3199D"/>
    <w:rsid w:val="00D31F08"/>
    <w:rsid w:val="00D31F75"/>
    <w:rsid w:val="00D334EC"/>
    <w:rsid w:val="00D35930"/>
    <w:rsid w:val="00D35BB6"/>
    <w:rsid w:val="00D41587"/>
    <w:rsid w:val="00D43151"/>
    <w:rsid w:val="00D43C3A"/>
    <w:rsid w:val="00D43D41"/>
    <w:rsid w:val="00D448DD"/>
    <w:rsid w:val="00D45143"/>
    <w:rsid w:val="00D4544B"/>
    <w:rsid w:val="00D466FD"/>
    <w:rsid w:val="00D479F0"/>
    <w:rsid w:val="00D47C69"/>
    <w:rsid w:val="00D52391"/>
    <w:rsid w:val="00D53B2E"/>
    <w:rsid w:val="00D54E07"/>
    <w:rsid w:val="00D56C76"/>
    <w:rsid w:val="00D5792A"/>
    <w:rsid w:val="00D57D35"/>
    <w:rsid w:val="00D60851"/>
    <w:rsid w:val="00D62608"/>
    <w:rsid w:val="00D6394D"/>
    <w:rsid w:val="00D655E5"/>
    <w:rsid w:val="00D65B41"/>
    <w:rsid w:val="00D664C3"/>
    <w:rsid w:val="00D709C5"/>
    <w:rsid w:val="00D71D76"/>
    <w:rsid w:val="00D721FF"/>
    <w:rsid w:val="00D727C7"/>
    <w:rsid w:val="00D72D3A"/>
    <w:rsid w:val="00D737BB"/>
    <w:rsid w:val="00D7432E"/>
    <w:rsid w:val="00D747FA"/>
    <w:rsid w:val="00D756EC"/>
    <w:rsid w:val="00D77B31"/>
    <w:rsid w:val="00D82B36"/>
    <w:rsid w:val="00D831CC"/>
    <w:rsid w:val="00D837F0"/>
    <w:rsid w:val="00D86A86"/>
    <w:rsid w:val="00D9028E"/>
    <w:rsid w:val="00D9089D"/>
    <w:rsid w:val="00D91C90"/>
    <w:rsid w:val="00D92FF6"/>
    <w:rsid w:val="00D93C07"/>
    <w:rsid w:val="00D95EE4"/>
    <w:rsid w:val="00D96D9E"/>
    <w:rsid w:val="00D96E39"/>
    <w:rsid w:val="00DA024C"/>
    <w:rsid w:val="00DA0EB1"/>
    <w:rsid w:val="00DA1B43"/>
    <w:rsid w:val="00DA31D7"/>
    <w:rsid w:val="00DA3CD0"/>
    <w:rsid w:val="00DA45A9"/>
    <w:rsid w:val="00DA4AF1"/>
    <w:rsid w:val="00DA59B1"/>
    <w:rsid w:val="00DA7470"/>
    <w:rsid w:val="00DB1F25"/>
    <w:rsid w:val="00DB42D8"/>
    <w:rsid w:val="00DB4A16"/>
    <w:rsid w:val="00DB771E"/>
    <w:rsid w:val="00DB7A0A"/>
    <w:rsid w:val="00DC1ED7"/>
    <w:rsid w:val="00DC21CE"/>
    <w:rsid w:val="00DC2560"/>
    <w:rsid w:val="00DC2A91"/>
    <w:rsid w:val="00DC5064"/>
    <w:rsid w:val="00DC56BA"/>
    <w:rsid w:val="00DD086C"/>
    <w:rsid w:val="00DD2E2D"/>
    <w:rsid w:val="00DD3022"/>
    <w:rsid w:val="00DD308C"/>
    <w:rsid w:val="00DD3B81"/>
    <w:rsid w:val="00DD53FF"/>
    <w:rsid w:val="00DD607C"/>
    <w:rsid w:val="00DE197A"/>
    <w:rsid w:val="00DE19BF"/>
    <w:rsid w:val="00DE2325"/>
    <w:rsid w:val="00DE255C"/>
    <w:rsid w:val="00DE284B"/>
    <w:rsid w:val="00DE6260"/>
    <w:rsid w:val="00DE7D28"/>
    <w:rsid w:val="00DF0399"/>
    <w:rsid w:val="00DF296E"/>
    <w:rsid w:val="00DF3CB5"/>
    <w:rsid w:val="00DF629E"/>
    <w:rsid w:val="00E00ABB"/>
    <w:rsid w:val="00E00DA4"/>
    <w:rsid w:val="00E02317"/>
    <w:rsid w:val="00E060C4"/>
    <w:rsid w:val="00E068D6"/>
    <w:rsid w:val="00E06A56"/>
    <w:rsid w:val="00E07532"/>
    <w:rsid w:val="00E07B3B"/>
    <w:rsid w:val="00E105CE"/>
    <w:rsid w:val="00E105E4"/>
    <w:rsid w:val="00E11910"/>
    <w:rsid w:val="00E11B71"/>
    <w:rsid w:val="00E11D2C"/>
    <w:rsid w:val="00E13631"/>
    <w:rsid w:val="00E137E6"/>
    <w:rsid w:val="00E15EF5"/>
    <w:rsid w:val="00E205C2"/>
    <w:rsid w:val="00E23778"/>
    <w:rsid w:val="00E239E9"/>
    <w:rsid w:val="00E23F00"/>
    <w:rsid w:val="00E24172"/>
    <w:rsid w:val="00E24235"/>
    <w:rsid w:val="00E25D11"/>
    <w:rsid w:val="00E25E64"/>
    <w:rsid w:val="00E308CD"/>
    <w:rsid w:val="00E30A9B"/>
    <w:rsid w:val="00E33B45"/>
    <w:rsid w:val="00E33FCF"/>
    <w:rsid w:val="00E365F2"/>
    <w:rsid w:val="00E36761"/>
    <w:rsid w:val="00E37B74"/>
    <w:rsid w:val="00E37E67"/>
    <w:rsid w:val="00E37F5D"/>
    <w:rsid w:val="00E42835"/>
    <w:rsid w:val="00E45844"/>
    <w:rsid w:val="00E45E2C"/>
    <w:rsid w:val="00E46455"/>
    <w:rsid w:val="00E52476"/>
    <w:rsid w:val="00E53C7E"/>
    <w:rsid w:val="00E554E6"/>
    <w:rsid w:val="00E55520"/>
    <w:rsid w:val="00E55F00"/>
    <w:rsid w:val="00E56470"/>
    <w:rsid w:val="00E564FB"/>
    <w:rsid w:val="00E5711F"/>
    <w:rsid w:val="00E575CB"/>
    <w:rsid w:val="00E604DB"/>
    <w:rsid w:val="00E60C32"/>
    <w:rsid w:val="00E60EDF"/>
    <w:rsid w:val="00E620CC"/>
    <w:rsid w:val="00E641C0"/>
    <w:rsid w:val="00E64CF8"/>
    <w:rsid w:val="00E64D57"/>
    <w:rsid w:val="00E65C69"/>
    <w:rsid w:val="00E661C7"/>
    <w:rsid w:val="00E71CFC"/>
    <w:rsid w:val="00E71F09"/>
    <w:rsid w:val="00E7344A"/>
    <w:rsid w:val="00E735A5"/>
    <w:rsid w:val="00E7798F"/>
    <w:rsid w:val="00E81B28"/>
    <w:rsid w:val="00E82DD9"/>
    <w:rsid w:val="00E83236"/>
    <w:rsid w:val="00E8535F"/>
    <w:rsid w:val="00E87B58"/>
    <w:rsid w:val="00E90578"/>
    <w:rsid w:val="00E91C4D"/>
    <w:rsid w:val="00E92595"/>
    <w:rsid w:val="00E929A4"/>
    <w:rsid w:val="00E940EE"/>
    <w:rsid w:val="00E941DD"/>
    <w:rsid w:val="00E943D2"/>
    <w:rsid w:val="00E95A38"/>
    <w:rsid w:val="00E95B0D"/>
    <w:rsid w:val="00E967E7"/>
    <w:rsid w:val="00E96D8D"/>
    <w:rsid w:val="00E97D99"/>
    <w:rsid w:val="00EA0AA1"/>
    <w:rsid w:val="00EA159C"/>
    <w:rsid w:val="00EA278E"/>
    <w:rsid w:val="00EA3D18"/>
    <w:rsid w:val="00EA6396"/>
    <w:rsid w:val="00EA63CC"/>
    <w:rsid w:val="00EB183E"/>
    <w:rsid w:val="00EB27E9"/>
    <w:rsid w:val="00EB2CEB"/>
    <w:rsid w:val="00EB3740"/>
    <w:rsid w:val="00EB5091"/>
    <w:rsid w:val="00EB6E58"/>
    <w:rsid w:val="00EC09BB"/>
    <w:rsid w:val="00EC25E0"/>
    <w:rsid w:val="00EC2953"/>
    <w:rsid w:val="00EC2A5A"/>
    <w:rsid w:val="00EC33FA"/>
    <w:rsid w:val="00EC5798"/>
    <w:rsid w:val="00EC5951"/>
    <w:rsid w:val="00EC6329"/>
    <w:rsid w:val="00ED0418"/>
    <w:rsid w:val="00ED0686"/>
    <w:rsid w:val="00ED113D"/>
    <w:rsid w:val="00ED17E1"/>
    <w:rsid w:val="00ED356F"/>
    <w:rsid w:val="00ED392D"/>
    <w:rsid w:val="00ED3D39"/>
    <w:rsid w:val="00ED54CC"/>
    <w:rsid w:val="00ED5EEC"/>
    <w:rsid w:val="00ED7202"/>
    <w:rsid w:val="00EE02A2"/>
    <w:rsid w:val="00EE3760"/>
    <w:rsid w:val="00EE4A9D"/>
    <w:rsid w:val="00EE6538"/>
    <w:rsid w:val="00EE6F95"/>
    <w:rsid w:val="00EE720A"/>
    <w:rsid w:val="00EF1476"/>
    <w:rsid w:val="00EF1F37"/>
    <w:rsid w:val="00EF2A21"/>
    <w:rsid w:val="00EF317D"/>
    <w:rsid w:val="00EF39DC"/>
    <w:rsid w:val="00EF3B89"/>
    <w:rsid w:val="00EF3CA5"/>
    <w:rsid w:val="00EF4B32"/>
    <w:rsid w:val="00EF4F8D"/>
    <w:rsid w:val="00EF5C1C"/>
    <w:rsid w:val="00EF78BE"/>
    <w:rsid w:val="00F0038A"/>
    <w:rsid w:val="00F00C6F"/>
    <w:rsid w:val="00F015C8"/>
    <w:rsid w:val="00F026BF"/>
    <w:rsid w:val="00F03544"/>
    <w:rsid w:val="00F03F0D"/>
    <w:rsid w:val="00F05761"/>
    <w:rsid w:val="00F05B71"/>
    <w:rsid w:val="00F10689"/>
    <w:rsid w:val="00F10A55"/>
    <w:rsid w:val="00F11280"/>
    <w:rsid w:val="00F12347"/>
    <w:rsid w:val="00F14F95"/>
    <w:rsid w:val="00F15EAE"/>
    <w:rsid w:val="00F15FA1"/>
    <w:rsid w:val="00F170AF"/>
    <w:rsid w:val="00F17970"/>
    <w:rsid w:val="00F20590"/>
    <w:rsid w:val="00F24440"/>
    <w:rsid w:val="00F25664"/>
    <w:rsid w:val="00F27400"/>
    <w:rsid w:val="00F30D3C"/>
    <w:rsid w:val="00F314C3"/>
    <w:rsid w:val="00F3304A"/>
    <w:rsid w:val="00F3332D"/>
    <w:rsid w:val="00F33679"/>
    <w:rsid w:val="00F35432"/>
    <w:rsid w:val="00F354F1"/>
    <w:rsid w:val="00F35D4F"/>
    <w:rsid w:val="00F3612A"/>
    <w:rsid w:val="00F36C73"/>
    <w:rsid w:val="00F37984"/>
    <w:rsid w:val="00F37BAD"/>
    <w:rsid w:val="00F40509"/>
    <w:rsid w:val="00F41055"/>
    <w:rsid w:val="00F42C07"/>
    <w:rsid w:val="00F434A6"/>
    <w:rsid w:val="00F451F9"/>
    <w:rsid w:val="00F45C7D"/>
    <w:rsid w:val="00F46C2F"/>
    <w:rsid w:val="00F470B9"/>
    <w:rsid w:val="00F47CB0"/>
    <w:rsid w:val="00F5086B"/>
    <w:rsid w:val="00F51B92"/>
    <w:rsid w:val="00F51EFD"/>
    <w:rsid w:val="00F52044"/>
    <w:rsid w:val="00F52330"/>
    <w:rsid w:val="00F53878"/>
    <w:rsid w:val="00F55E89"/>
    <w:rsid w:val="00F57F0F"/>
    <w:rsid w:val="00F60E96"/>
    <w:rsid w:val="00F61EA6"/>
    <w:rsid w:val="00F6208C"/>
    <w:rsid w:val="00F633CA"/>
    <w:rsid w:val="00F63A00"/>
    <w:rsid w:val="00F65EB5"/>
    <w:rsid w:val="00F67309"/>
    <w:rsid w:val="00F71FB8"/>
    <w:rsid w:val="00F720C8"/>
    <w:rsid w:val="00F72572"/>
    <w:rsid w:val="00F73CB9"/>
    <w:rsid w:val="00F73D1B"/>
    <w:rsid w:val="00F80148"/>
    <w:rsid w:val="00F81DEB"/>
    <w:rsid w:val="00F83339"/>
    <w:rsid w:val="00F8371E"/>
    <w:rsid w:val="00F83C92"/>
    <w:rsid w:val="00F857D0"/>
    <w:rsid w:val="00F92B18"/>
    <w:rsid w:val="00F94AA3"/>
    <w:rsid w:val="00F9520A"/>
    <w:rsid w:val="00F95372"/>
    <w:rsid w:val="00F961F2"/>
    <w:rsid w:val="00F9635C"/>
    <w:rsid w:val="00F96ADD"/>
    <w:rsid w:val="00F970ED"/>
    <w:rsid w:val="00F979DF"/>
    <w:rsid w:val="00FA020E"/>
    <w:rsid w:val="00FA0AA2"/>
    <w:rsid w:val="00FA16C1"/>
    <w:rsid w:val="00FA68DC"/>
    <w:rsid w:val="00FA7EC6"/>
    <w:rsid w:val="00FB02D5"/>
    <w:rsid w:val="00FB0C85"/>
    <w:rsid w:val="00FB77F6"/>
    <w:rsid w:val="00FC1BCD"/>
    <w:rsid w:val="00FC20A5"/>
    <w:rsid w:val="00FC7FCA"/>
    <w:rsid w:val="00FD0F83"/>
    <w:rsid w:val="00FD140F"/>
    <w:rsid w:val="00FD19C2"/>
    <w:rsid w:val="00FD342E"/>
    <w:rsid w:val="00FD3E41"/>
    <w:rsid w:val="00FD4FCE"/>
    <w:rsid w:val="00FE126F"/>
    <w:rsid w:val="00FE1633"/>
    <w:rsid w:val="00FE3426"/>
    <w:rsid w:val="00FE372F"/>
    <w:rsid w:val="00FE3B7D"/>
    <w:rsid w:val="00FE3D12"/>
    <w:rsid w:val="00FE6133"/>
    <w:rsid w:val="00FE6A70"/>
    <w:rsid w:val="00FF06BF"/>
    <w:rsid w:val="00FF5AF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613B3"/>
  <w15:docId w15:val="{78CA4D5C-20F4-4CD3-8545-21981713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D75F5"/>
    <w:pPr>
      <w:keepNext/>
      <w:keepLines/>
      <w:numPr>
        <w:numId w:val="3"/>
      </w:numPr>
      <w:spacing w:before="120" w:after="0" w:line="240" w:lineRule="auto"/>
      <w:outlineLvl w:val="0"/>
    </w:pPr>
    <w:rPr>
      <w:rFonts w:eastAsiaTheme="majorEastAsia" w:cstheme="minorHAnsi"/>
      <w:b/>
      <w:bCs/>
      <w:color w:val="2F5496" w:themeColor="accent1" w:themeShade="BF"/>
      <w:sz w:val="28"/>
      <w:szCs w:val="28"/>
    </w:rPr>
  </w:style>
  <w:style w:type="paragraph" w:styleId="Titre2">
    <w:name w:val="heading 2"/>
    <w:basedOn w:val="Normal"/>
    <w:next w:val="Normal"/>
    <w:link w:val="Titre2Car"/>
    <w:uiPriority w:val="9"/>
    <w:unhideWhenUsed/>
    <w:qFormat/>
    <w:rsid w:val="00827AD1"/>
    <w:pPr>
      <w:keepNext/>
      <w:keepLines/>
      <w:numPr>
        <w:ilvl w:val="1"/>
        <w:numId w:val="21"/>
      </w:numPr>
      <w:spacing w:before="240" w:after="240"/>
      <w:outlineLvl w:val="1"/>
    </w:pPr>
    <w:rPr>
      <w:rFonts w:asciiTheme="majorHAnsi" w:eastAsiaTheme="majorEastAsia" w:hAnsiTheme="majorHAnsi" w:cstheme="majorBidi"/>
      <w:b/>
      <w:bCs/>
      <w:sz w:val="24"/>
      <w:szCs w:val="24"/>
    </w:rPr>
  </w:style>
  <w:style w:type="paragraph" w:styleId="Titre3">
    <w:name w:val="heading 3"/>
    <w:basedOn w:val="Normal"/>
    <w:next w:val="Normal"/>
    <w:link w:val="Titre3Car"/>
    <w:uiPriority w:val="9"/>
    <w:unhideWhenUsed/>
    <w:qFormat/>
    <w:rsid w:val="00DC2A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7B3B"/>
    <w:pPr>
      <w:spacing w:after="0" w:line="240" w:lineRule="auto"/>
      <w:ind w:left="720"/>
    </w:pPr>
  </w:style>
  <w:style w:type="paragraph" w:styleId="En-tte">
    <w:name w:val="header"/>
    <w:basedOn w:val="Normal"/>
    <w:link w:val="En-tteCar"/>
    <w:uiPriority w:val="99"/>
    <w:unhideWhenUsed/>
    <w:rsid w:val="0067490B"/>
    <w:pPr>
      <w:tabs>
        <w:tab w:val="center" w:pos="4536"/>
        <w:tab w:val="right" w:pos="9072"/>
      </w:tabs>
      <w:spacing w:after="0" w:line="240" w:lineRule="auto"/>
    </w:pPr>
  </w:style>
  <w:style w:type="character" w:customStyle="1" w:styleId="En-tteCar">
    <w:name w:val="En-tête Car"/>
    <w:basedOn w:val="Policepardfaut"/>
    <w:link w:val="En-tte"/>
    <w:uiPriority w:val="99"/>
    <w:rsid w:val="0067490B"/>
  </w:style>
  <w:style w:type="paragraph" w:styleId="Pieddepage">
    <w:name w:val="footer"/>
    <w:basedOn w:val="Normal"/>
    <w:link w:val="PieddepageCar"/>
    <w:uiPriority w:val="99"/>
    <w:unhideWhenUsed/>
    <w:rsid w:val="006749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490B"/>
  </w:style>
  <w:style w:type="paragraph" w:styleId="Rvision">
    <w:name w:val="Revision"/>
    <w:hidden/>
    <w:uiPriority w:val="99"/>
    <w:semiHidden/>
    <w:rsid w:val="00DF629E"/>
    <w:pPr>
      <w:spacing w:after="0" w:line="240" w:lineRule="auto"/>
    </w:pPr>
  </w:style>
  <w:style w:type="paragraph" w:styleId="Lgende">
    <w:name w:val="caption"/>
    <w:basedOn w:val="Normal"/>
    <w:next w:val="Normal"/>
    <w:uiPriority w:val="35"/>
    <w:unhideWhenUsed/>
    <w:qFormat/>
    <w:rsid w:val="00F015C8"/>
    <w:pPr>
      <w:spacing w:after="200" w:line="240" w:lineRule="auto"/>
    </w:pPr>
    <w:rPr>
      <w:i/>
      <w:iCs/>
      <w:color w:val="44546A" w:themeColor="text2"/>
      <w:sz w:val="18"/>
      <w:szCs w:val="18"/>
    </w:rPr>
  </w:style>
  <w:style w:type="character" w:customStyle="1" w:styleId="Titre1Car">
    <w:name w:val="Titre 1 Car"/>
    <w:basedOn w:val="Policepardfaut"/>
    <w:link w:val="Titre1"/>
    <w:uiPriority w:val="9"/>
    <w:rsid w:val="006D75F5"/>
    <w:rPr>
      <w:rFonts w:eastAsiaTheme="majorEastAsia" w:cstheme="minorHAnsi"/>
      <w:b/>
      <w:bCs/>
      <w:color w:val="2F5496" w:themeColor="accent1" w:themeShade="BF"/>
      <w:sz w:val="28"/>
      <w:szCs w:val="28"/>
    </w:rPr>
  </w:style>
  <w:style w:type="paragraph" w:styleId="En-ttedetabledesmatires">
    <w:name w:val="TOC Heading"/>
    <w:basedOn w:val="Titre1"/>
    <w:next w:val="Normal"/>
    <w:uiPriority w:val="39"/>
    <w:unhideWhenUsed/>
    <w:qFormat/>
    <w:rsid w:val="00F015C8"/>
    <w:pPr>
      <w:outlineLvl w:val="9"/>
    </w:pPr>
    <w:rPr>
      <w:lang w:eastAsia="fr-FR"/>
    </w:rPr>
  </w:style>
  <w:style w:type="paragraph" w:styleId="TM1">
    <w:name w:val="toc 1"/>
    <w:basedOn w:val="Normal"/>
    <w:next w:val="Normal"/>
    <w:autoRedefine/>
    <w:uiPriority w:val="39"/>
    <w:unhideWhenUsed/>
    <w:rsid w:val="00F015C8"/>
    <w:pPr>
      <w:spacing w:after="100"/>
    </w:pPr>
  </w:style>
  <w:style w:type="character" w:styleId="Lienhypertexte">
    <w:name w:val="Hyperlink"/>
    <w:basedOn w:val="Policepardfaut"/>
    <w:uiPriority w:val="99"/>
    <w:unhideWhenUsed/>
    <w:rsid w:val="00F015C8"/>
    <w:rPr>
      <w:color w:val="0563C1" w:themeColor="hyperlink"/>
      <w:u w:val="single"/>
    </w:rPr>
  </w:style>
  <w:style w:type="character" w:customStyle="1" w:styleId="Titre2Car">
    <w:name w:val="Titre 2 Car"/>
    <w:basedOn w:val="Policepardfaut"/>
    <w:link w:val="Titre2"/>
    <w:uiPriority w:val="9"/>
    <w:rsid w:val="00827AD1"/>
    <w:rPr>
      <w:rFonts w:asciiTheme="majorHAnsi" w:eastAsiaTheme="majorEastAsia" w:hAnsiTheme="majorHAnsi" w:cstheme="majorBidi"/>
      <w:b/>
      <w:bCs/>
      <w:sz w:val="24"/>
      <w:szCs w:val="24"/>
    </w:rPr>
  </w:style>
  <w:style w:type="paragraph" w:styleId="Notedebasdepage">
    <w:name w:val="footnote text"/>
    <w:basedOn w:val="Normal"/>
    <w:link w:val="NotedebasdepageCar"/>
    <w:uiPriority w:val="99"/>
    <w:semiHidden/>
    <w:unhideWhenUsed/>
    <w:rsid w:val="00C47A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7AFB"/>
    <w:rPr>
      <w:sz w:val="20"/>
      <w:szCs w:val="20"/>
    </w:rPr>
  </w:style>
  <w:style w:type="character" w:styleId="Appelnotedebasdep">
    <w:name w:val="footnote reference"/>
    <w:basedOn w:val="Policepardfaut"/>
    <w:uiPriority w:val="99"/>
    <w:semiHidden/>
    <w:unhideWhenUsed/>
    <w:rsid w:val="00C47AFB"/>
    <w:rPr>
      <w:vertAlign w:val="superscript"/>
    </w:rPr>
  </w:style>
  <w:style w:type="paragraph" w:styleId="TM2">
    <w:name w:val="toc 2"/>
    <w:basedOn w:val="Normal"/>
    <w:next w:val="Normal"/>
    <w:autoRedefine/>
    <w:uiPriority w:val="39"/>
    <w:unhideWhenUsed/>
    <w:rsid w:val="002D57F6"/>
    <w:pPr>
      <w:spacing w:after="100"/>
      <w:ind w:left="220"/>
    </w:pPr>
  </w:style>
  <w:style w:type="paragraph" w:styleId="Tabledesillustrations">
    <w:name w:val="table of figures"/>
    <w:basedOn w:val="Normal"/>
    <w:next w:val="Normal"/>
    <w:uiPriority w:val="99"/>
    <w:unhideWhenUsed/>
    <w:rsid w:val="002D57F6"/>
    <w:pPr>
      <w:spacing w:after="0"/>
    </w:pPr>
  </w:style>
  <w:style w:type="paragraph" w:styleId="Notedefin">
    <w:name w:val="endnote text"/>
    <w:basedOn w:val="Normal"/>
    <w:link w:val="NotedefinCar"/>
    <w:uiPriority w:val="99"/>
    <w:semiHidden/>
    <w:unhideWhenUsed/>
    <w:rsid w:val="00273DA4"/>
    <w:pPr>
      <w:spacing w:after="0" w:line="240" w:lineRule="auto"/>
    </w:pPr>
    <w:rPr>
      <w:sz w:val="20"/>
      <w:szCs w:val="20"/>
    </w:rPr>
  </w:style>
  <w:style w:type="character" w:customStyle="1" w:styleId="NotedefinCar">
    <w:name w:val="Note de fin Car"/>
    <w:basedOn w:val="Policepardfaut"/>
    <w:link w:val="Notedefin"/>
    <w:uiPriority w:val="99"/>
    <w:semiHidden/>
    <w:rsid w:val="00273DA4"/>
    <w:rPr>
      <w:sz w:val="20"/>
      <w:szCs w:val="20"/>
    </w:rPr>
  </w:style>
  <w:style w:type="character" w:styleId="Appeldenotedefin">
    <w:name w:val="endnote reference"/>
    <w:basedOn w:val="Policepardfaut"/>
    <w:uiPriority w:val="99"/>
    <w:semiHidden/>
    <w:unhideWhenUsed/>
    <w:rsid w:val="00273DA4"/>
    <w:rPr>
      <w:vertAlign w:val="superscript"/>
    </w:rPr>
  </w:style>
  <w:style w:type="character" w:customStyle="1" w:styleId="Titre3Car">
    <w:name w:val="Titre 3 Car"/>
    <w:basedOn w:val="Policepardfaut"/>
    <w:link w:val="Titre3"/>
    <w:uiPriority w:val="9"/>
    <w:rsid w:val="00DC2A91"/>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DC2A91"/>
    <w:pPr>
      <w:spacing w:after="100"/>
      <w:ind w:left="440"/>
    </w:pPr>
  </w:style>
  <w:style w:type="paragraph" w:styleId="NormalWeb">
    <w:name w:val="Normal (Web)"/>
    <w:basedOn w:val="Normal"/>
    <w:uiPriority w:val="99"/>
    <w:semiHidden/>
    <w:unhideWhenUsed/>
    <w:rsid w:val="00AD4170"/>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CC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A681C"/>
    <w:rPr>
      <w:sz w:val="16"/>
      <w:szCs w:val="16"/>
    </w:rPr>
  </w:style>
  <w:style w:type="paragraph" w:styleId="Commentaire">
    <w:name w:val="annotation text"/>
    <w:basedOn w:val="Normal"/>
    <w:link w:val="CommentaireCar"/>
    <w:uiPriority w:val="99"/>
    <w:unhideWhenUsed/>
    <w:rsid w:val="002A681C"/>
    <w:pPr>
      <w:spacing w:line="240" w:lineRule="auto"/>
    </w:pPr>
    <w:rPr>
      <w:sz w:val="20"/>
      <w:szCs w:val="20"/>
    </w:rPr>
  </w:style>
  <w:style w:type="character" w:customStyle="1" w:styleId="CommentaireCar">
    <w:name w:val="Commentaire Car"/>
    <w:basedOn w:val="Policepardfaut"/>
    <w:link w:val="Commentaire"/>
    <w:uiPriority w:val="99"/>
    <w:rsid w:val="002A681C"/>
    <w:rPr>
      <w:sz w:val="20"/>
      <w:szCs w:val="20"/>
    </w:rPr>
  </w:style>
  <w:style w:type="paragraph" w:styleId="Objetducommentaire">
    <w:name w:val="annotation subject"/>
    <w:basedOn w:val="Commentaire"/>
    <w:next w:val="Commentaire"/>
    <w:link w:val="ObjetducommentaireCar"/>
    <w:uiPriority w:val="99"/>
    <w:semiHidden/>
    <w:unhideWhenUsed/>
    <w:rsid w:val="002A681C"/>
    <w:rPr>
      <w:b/>
      <w:bCs/>
    </w:rPr>
  </w:style>
  <w:style w:type="character" w:customStyle="1" w:styleId="ObjetducommentaireCar">
    <w:name w:val="Objet du commentaire Car"/>
    <w:basedOn w:val="CommentaireCar"/>
    <w:link w:val="Objetducommentaire"/>
    <w:uiPriority w:val="99"/>
    <w:semiHidden/>
    <w:rsid w:val="002A681C"/>
    <w:rPr>
      <w:b/>
      <w:bCs/>
      <w:sz w:val="20"/>
      <w:szCs w:val="20"/>
    </w:rPr>
  </w:style>
  <w:style w:type="paragraph" w:customStyle="1" w:styleId="xmsonormal">
    <w:name w:val="x_msonormal"/>
    <w:basedOn w:val="Normal"/>
    <w:rsid w:val="00761590"/>
    <w:pPr>
      <w:spacing w:line="252"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3423">
      <w:bodyDiv w:val="1"/>
      <w:marLeft w:val="0"/>
      <w:marRight w:val="0"/>
      <w:marTop w:val="0"/>
      <w:marBottom w:val="0"/>
      <w:divBdr>
        <w:top w:val="none" w:sz="0" w:space="0" w:color="auto"/>
        <w:left w:val="none" w:sz="0" w:space="0" w:color="auto"/>
        <w:bottom w:val="none" w:sz="0" w:space="0" w:color="auto"/>
        <w:right w:val="none" w:sz="0" w:space="0" w:color="auto"/>
      </w:divBdr>
      <w:divsChild>
        <w:div w:id="887305862">
          <w:marLeft w:val="274"/>
          <w:marRight w:val="0"/>
          <w:marTop w:val="0"/>
          <w:marBottom w:val="120"/>
          <w:divBdr>
            <w:top w:val="none" w:sz="0" w:space="0" w:color="auto"/>
            <w:left w:val="none" w:sz="0" w:space="0" w:color="auto"/>
            <w:bottom w:val="none" w:sz="0" w:space="0" w:color="auto"/>
            <w:right w:val="none" w:sz="0" w:space="0" w:color="auto"/>
          </w:divBdr>
        </w:div>
        <w:div w:id="1349211226">
          <w:marLeft w:val="274"/>
          <w:marRight w:val="0"/>
          <w:marTop w:val="0"/>
          <w:marBottom w:val="120"/>
          <w:divBdr>
            <w:top w:val="none" w:sz="0" w:space="0" w:color="auto"/>
            <w:left w:val="none" w:sz="0" w:space="0" w:color="auto"/>
            <w:bottom w:val="none" w:sz="0" w:space="0" w:color="auto"/>
            <w:right w:val="none" w:sz="0" w:space="0" w:color="auto"/>
          </w:divBdr>
        </w:div>
        <w:div w:id="1460495471">
          <w:marLeft w:val="274"/>
          <w:marRight w:val="0"/>
          <w:marTop w:val="0"/>
          <w:marBottom w:val="120"/>
          <w:divBdr>
            <w:top w:val="none" w:sz="0" w:space="0" w:color="auto"/>
            <w:left w:val="none" w:sz="0" w:space="0" w:color="auto"/>
            <w:bottom w:val="none" w:sz="0" w:space="0" w:color="auto"/>
            <w:right w:val="none" w:sz="0" w:space="0" w:color="auto"/>
          </w:divBdr>
        </w:div>
        <w:div w:id="1705592646">
          <w:marLeft w:val="274"/>
          <w:marRight w:val="0"/>
          <w:marTop w:val="0"/>
          <w:marBottom w:val="120"/>
          <w:divBdr>
            <w:top w:val="none" w:sz="0" w:space="0" w:color="auto"/>
            <w:left w:val="none" w:sz="0" w:space="0" w:color="auto"/>
            <w:bottom w:val="none" w:sz="0" w:space="0" w:color="auto"/>
            <w:right w:val="none" w:sz="0" w:space="0" w:color="auto"/>
          </w:divBdr>
        </w:div>
      </w:divsChild>
    </w:div>
    <w:div w:id="251816333">
      <w:bodyDiv w:val="1"/>
      <w:marLeft w:val="0"/>
      <w:marRight w:val="0"/>
      <w:marTop w:val="0"/>
      <w:marBottom w:val="0"/>
      <w:divBdr>
        <w:top w:val="none" w:sz="0" w:space="0" w:color="auto"/>
        <w:left w:val="none" w:sz="0" w:space="0" w:color="auto"/>
        <w:bottom w:val="none" w:sz="0" w:space="0" w:color="auto"/>
        <w:right w:val="none" w:sz="0" w:space="0" w:color="auto"/>
      </w:divBdr>
      <w:divsChild>
        <w:div w:id="104663123">
          <w:marLeft w:val="274"/>
          <w:marRight w:val="0"/>
          <w:marTop w:val="0"/>
          <w:marBottom w:val="0"/>
          <w:divBdr>
            <w:top w:val="none" w:sz="0" w:space="0" w:color="auto"/>
            <w:left w:val="none" w:sz="0" w:space="0" w:color="auto"/>
            <w:bottom w:val="none" w:sz="0" w:space="0" w:color="auto"/>
            <w:right w:val="none" w:sz="0" w:space="0" w:color="auto"/>
          </w:divBdr>
        </w:div>
        <w:div w:id="350180678">
          <w:marLeft w:val="274"/>
          <w:marRight w:val="0"/>
          <w:marTop w:val="0"/>
          <w:marBottom w:val="0"/>
          <w:divBdr>
            <w:top w:val="none" w:sz="0" w:space="0" w:color="auto"/>
            <w:left w:val="none" w:sz="0" w:space="0" w:color="auto"/>
            <w:bottom w:val="none" w:sz="0" w:space="0" w:color="auto"/>
            <w:right w:val="none" w:sz="0" w:space="0" w:color="auto"/>
          </w:divBdr>
        </w:div>
        <w:div w:id="1010059593">
          <w:marLeft w:val="274"/>
          <w:marRight w:val="0"/>
          <w:marTop w:val="0"/>
          <w:marBottom w:val="0"/>
          <w:divBdr>
            <w:top w:val="none" w:sz="0" w:space="0" w:color="auto"/>
            <w:left w:val="none" w:sz="0" w:space="0" w:color="auto"/>
            <w:bottom w:val="none" w:sz="0" w:space="0" w:color="auto"/>
            <w:right w:val="none" w:sz="0" w:space="0" w:color="auto"/>
          </w:divBdr>
        </w:div>
        <w:div w:id="1863936920">
          <w:marLeft w:val="274"/>
          <w:marRight w:val="0"/>
          <w:marTop w:val="0"/>
          <w:marBottom w:val="0"/>
          <w:divBdr>
            <w:top w:val="none" w:sz="0" w:space="0" w:color="auto"/>
            <w:left w:val="none" w:sz="0" w:space="0" w:color="auto"/>
            <w:bottom w:val="none" w:sz="0" w:space="0" w:color="auto"/>
            <w:right w:val="none" w:sz="0" w:space="0" w:color="auto"/>
          </w:divBdr>
        </w:div>
      </w:divsChild>
    </w:div>
    <w:div w:id="257643635">
      <w:bodyDiv w:val="1"/>
      <w:marLeft w:val="0"/>
      <w:marRight w:val="0"/>
      <w:marTop w:val="0"/>
      <w:marBottom w:val="0"/>
      <w:divBdr>
        <w:top w:val="none" w:sz="0" w:space="0" w:color="auto"/>
        <w:left w:val="none" w:sz="0" w:space="0" w:color="auto"/>
        <w:bottom w:val="none" w:sz="0" w:space="0" w:color="auto"/>
        <w:right w:val="none" w:sz="0" w:space="0" w:color="auto"/>
      </w:divBdr>
    </w:div>
    <w:div w:id="352607300">
      <w:bodyDiv w:val="1"/>
      <w:marLeft w:val="0"/>
      <w:marRight w:val="0"/>
      <w:marTop w:val="0"/>
      <w:marBottom w:val="0"/>
      <w:divBdr>
        <w:top w:val="none" w:sz="0" w:space="0" w:color="auto"/>
        <w:left w:val="none" w:sz="0" w:space="0" w:color="auto"/>
        <w:bottom w:val="none" w:sz="0" w:space="0" w:color="auto"/>
        <w:right w:val="none" w:sz="0" w:space="0" w:color="auto"/>
      </w:divBdr>
    </w:div>
    <w:div w:id="362904605">
      <w:bodyDiv w:val="1"/>
      <w:marLeft w:val="0"/>
      <w:marRight w:val="0"/>
      <w:marTop w:val="0"/>
      <w:marBottom w:val="0"/>
      <w:divBdr>
        <w:top w:val="none" w:sz="0" w:space="0" w:color="auto"/>
        <w:left w:val="none" w:sz="0" w:space="0" w:color="auto"/>
        <w:bottom w:val="none" w:sz="0" w:space="0" w:color="auto"/>
        <w:right w:val="none" w:sz="0" w:space="0" w:color="auto"/>
      </w:divBdr>
    </w:div>
    <w:div w:id="399907430">
      <w:bodyDiv w:val="1"/>
      <w:marLeft w:val="0"/>
      <w:marRight w:val="0"/>
      <w:marTop w:val="0"/>
      <w:marBottom w:val="0"/>
      <w:divBdr>
        <w:top w:val="none" w:sz="0" w:space="0" w:color="auto"/>
        <w:left w:val="none" w:sz="0" w:space="0" w:color="auto"/>
        <w:bottom w:val="none" w:sz="0" w:space="0" w:color="auto"/>
        <w:right w:val="none" w:sz="0" w:space="0" w:color="auto"/>
      </w:divBdr>
    </w:div>
    <w:div w:id="612129841">
      <w:bodyDiv w:val="1"/>
      <w:marLeft w:val="0"/>
      <w:marRight w:val="0"/>
      <w:marTop w:val="0"/>
      <w:marBottom w:val="0"/>
      <w:divBdr>
        <w:top w:val="none" w:sz="0" w:space="0" w:color="auto"/>
        <w:left w:val="none" w:sz="0" w:space="0" w:color="auto"/>
        <w:bottom w:val="none" w:sz="0" w:space="0" w:color="auto"/>
        <w:right w:val="none" w:sz="0" w:space="0" w:color="auto"/>
      </w:divBdr>
    </w:div>
    <w:div w:id="732391083">
      <w:bodyDiv w:val="1"/>
      <w:marLeft w:val="0"/>
      <w:marRight w:val="0"/>
      <w:marTop w:val="0"/>
      <w:marBottom w:val="0"/>
      <w:divBdr>
        <w:top w:val="none" w:sz="0" w:space="0" w:color="auto"/>
        <w:left w:val="none" w:sz="0" w:space="0" w:color="auto"/>
        <w:bottom w:val="none" w:sz="0" w:space="0" w:color="auto"/>
        <w:right w:val="none" w:sz="0" w:space="0" w:color="auto"/>
      </w:divBdr>
    </w:div>
    <w:div w:id="736442149">
      <w:bodyDiv w:val="1"/>
      <w:marLeft w:val="0"/>
      <w:marRight w:val="0"/>
      <w:marTop w:val="0"/>
      <w:marBottom w:val="0"/>
      <w:divBdr>
        <w:top w:val="none" w:sz="0" w:space="0" w:color="auto"/>
        <w:left w:val="none" w:sz="0" w:space="0" w:color="auto"/>
        <w:bottom w:val="none" w:sz="0" w:space="0" w:color="auto"/>
        <w:right w:val="none" w:sz="0" w:space="0" w:color="auto"/>
      </w:divBdr>
    </w:div>
    <w:div w:id="778573116">
      <w:bodyDiv w:val="1"/>
      <w:marLeft w:val="0"/>
      <w:marRight w:val="0"/>
      <w:marTop w:val="0"/>
      <w:marBottom w:val="0"/>
      <w:divBdr>
        <w:top w:val="none" w:sz="0" w:space="0" w:color="auto"/>
        <w:left w:val="none" w:sz="0" w:space="0" w:color="auto"/>
        <w:bottom w:val="none" w:sz="0" w:space="0" w:color="auto"/>
        <w:right w:val="none" w:sz="0" w:space="0" w:color="auto"/>
      </w:divBdr>
    </w:div>
    <w:div w:id="817263850">
      <w:bodyDiv w:val="1"/>
      <w:marLeft w:val="0"/>
      <w:marRight w:val="0"/>
      <w:marTop w:val="0"/>
      <w:marBottom w:val="0"/>
      <w:divBdr>
        <w:top w:val="none" w:sz="0" w:space="0" w:color="auto"/>
        <w:left w:val="none" w:sz="0" w:space="0" w:color="auto"/>
        <w:bottom w:val="none" w:sz="0" w:space="0" w:color="auto"/>
        <w:right w:val="none" w:sz="0" w:space="0" w:color="auto"/>
      </w:divBdr>
      <w:divsChild>
        <w:div w:id="396365065">
          <w:marLeft w:val="288"/>
          <w:marRight w:val="0"/>
          <w:marTop w:val="0"/>
          <w:marBottom w:val="120"/>
          <w:divBdr>
            <w:top w:val="none" w:sz="0" w:space="0" w:color="auto"/>
            <w:left w:val="none" w:sz="0" w:space="0" w:color="auto"/>
            <w:bottom w:val="none" w:sz="0" w:space="0" w:color="auto"/>
            <w:right w:val="none" w:sz="0" w:space="0" w:color="auto"/>
          </w:divBdr>
        </w:div>
        <w:div w:id="1375881921">
          <w:marLeft w:val="288"/>
          <w:marRight w:val="0"/>
          <w:marTop w:val="0"/>
          <w:marBottom w:val="120"/>
          <w:divBdr>
            <w:top w:val="none" w:sz="0" w:space="0" w:color="auto"/>
            <w:left w:val="none" w:sz="0" w:space="0" w:color="auto"/>
            <w:bottom w:val="none" w:sz="0" w:space="0" w:color="auto"/>
            <w:right w:val="none" w:sz="0" w:space="0" w:color="auto"/>
          </w:divBdr>
        </w:div>
      </w:divsChild>
    </w:div>
    <w:div w:id="967783768">
      <w:bodyDiv w:val="1"/>
      <w:marLeft w:val="0"/>
      <w:marRight w:val="0"/>
      <w:marTop w:val="0"/>
      <w:marBottom w:val="0"/>
      <w:divBdr>
        <w:top w:val="none" w:sz="0" w:space="0" w:color="auto"/>
        <w:left w:val="none" w:sz="0" w:space="0" w:color="auto"/>
        <w:bottom w:val="none" w:sz="0" w:space="0" w:color="auto"/>
        <w:right w:val="none" w:sz="0" w:space="0" w:color="auto"/>
      </w:divBdr>
    </w:div>
    <w:div w:id="1012611790">
      <w:bodyDiv w:val="1"/>
      <w:marLeft w:val="0"/>
      <w:marRight w:val="0"/>
      <w:marTop w:val="0"/>
      <w:marBottom w:val="0"/>
      <w:divBdr>
        <w:top w:val="none" w:sz="0" w:space="0" w:color="auto"/>
        <w:left w:val="none" w:sz="0" w:space="0" w:color="auto"/>
        <w:bottom w:val="none" w:sz="0" w:space="0" w:color="auto"/>
        <w:right w:val="none" w:sz="0" w:space="0" w:color="auto"/>
      </w:divBdr>
    </w:div>
    <w:div w:id="1083184937">
      <w:bodyDiv w:val="1"/>
      <w:marLeft w:val="0"/>
      <w:marRight w:val="0"/>
      <w:marTop w:val="0"/>
      <w:marBottom w:val="0"/>
      <w:divBdr>
        <w:top w:val="none" w:sz="0" w:space="0" w:color="auto"/>
        <w:left w:val="none" w:sz="0" w:space="0" w:color="auto"/>
        <w:bottom w:val="none" w:sz="0" w:space="0" w:color="auto"/>
        <w:right w:val="none" w:sz="0" w:space="0" w:color="auto"/>
      </w:divBdr>
    </w:div>
    <w:div w:id="1191532994">
      <w:bodyDiv w:val="1"/>
      <w:marLeft w:val="0"/>
      <w:marRight w:val="0"/>
      <w:marTop w:val="0"/>
      <w:marBottom w:val="0"/>
      <w:divBdr>
        <w:top w:val="none" w:sz="0" w:space="0" w:color="auto"/>
        <w:left w:val="none" w:sz="0" w:space="0" w:color="auto"/>
        <w:bottom w:val="none" w:sz="0" w:space="0" w:color="auto"/>
        <w:right w:val="none" w:sz="0" w:space="0" w:color="auto"/>
      </w:divBdr>
    </w:div>
    <w:div w:id="1240670866">
      <w:bodyDiv w:val="1"/>
      <w:marLeft w:val="0"/>
      <w:marRight w:val="0"/>
      <w:marTop w:val="0"/>
      <w:marBottom w:val="0"/>
      <w:divBdr>
        <w:top w:val="none" w:sz="0" w:space="0" w:color="auto"/>
        <w:left w:val="none" w:sz="0" w:space="0" w:color="auto"/>
        <w:bottom w:val="none" w:sz="0" w:space="0" w:color="auto"/>
        <w:right w:val="none" w:sz="0" w:space="0" w:color="auto"/>
      </w:divBdr>
    </w:div>
    <w:div w:id="1286347688">
      <w:bodyDiv w:val="1"/>
      <w:marLeft w:val="0"/>
      <w:marRight w:val="0"/>
      <w:marTop w:val="0"/>
      <w:marBottom w:val="0"/>
      <w:divBdr>
        <w:top w:val="none" w:sz="0" w:space="0" w:color="auto"/>
        <w:left w:val="none" w:sz="0" w:space="0" w:color="auto"/>
        <w:bottom w:val="none" w:sz="0" w:space="0" w:color="auto"/>
        <w:right w:val="none" w:sz="0" w:space="0" w:color="auto"/>
      </w:divBdr>
    </w:div>
    <w:div w:id="1291937090">
      <w:bodyDiv w:val="1"/>
      <w:marLeft w:val="0"/>
      <w:marRight w:val="0"/>
      <w:marTop w:val="0"/>
      <w:marBottom w:val="0"/>
      <w:divBdr>
        <w:top w:val="none" w:sz="0" w:space="0" w:color="auto"/>
        <w:left w:val="none" w:sz="0" w:space="0" w:color="auto"/>
        <w:bottom w:val="none" w:sz="0" w:space="0" w:color="auto"/>
        <w:right w:val="none" w:sz="0" w:space="0" w:color="auto"/>
      </w:divBdr>
    </w:div>
    <w:div w:id="1471746674">
      <w:bodyDiv w:val="1"/>
      <w:marLeft w:val="0"/>
      <w:marRight w:val="0"/>
      <w:marTop w:val="0"/>
      <w:marBottom w:val="0"/>
      <w:divBdr>
        <w:top w:val="none" w:sz="0" w:space="0" w:color="auto"/>
        <w:left w:val="none" w:sz="0" w:space="0" w:color="auto"/>
        <w:bottom w:val="none" w:sz="0" w:space="0" w:color="auto"/>
        <w:right w:val="none" w:sz="0" w:space="0" w:color="auto"/>
      </w:divBdr>
      <w:divsChild>
        <w:div w:id="1642609660">
          <w:marLeft w:val="288"/>
          <w:marRight w:val="0"/>
          <w:marTop w:val="0"/>
          <w:marBottom w:val="120"/>
          <w:divBdr>
            <w:top w:val="none" w:sz="0" w:space="0" w:color="auto"/>
            <w:left w:val="none" w:sz="0" w:space="0" w:color="auto"/>
            <w:bottom w:val="none" w:sz="0" w:space="0" w:color="auto"/>
            <w:right w:val="none" w:sz="0" w:space="0" w:color="auto"/>
          </w:divBdr>
        </w:div>
      </w:divsChild>
    </w:div>
    <w:div w:id="1706321511">
      <w:bodyDiv w:val="1"/>
      <w:marLeft w:val="0"/>
      <w:marRight w:val="0"/>
      <w:marTop w:val="0"/>
      <w:marBottom w:val="0"/>
      <w:divBdr>
        <w:top w:val="none" w:sz="0" w:space="0" w:color="auto"/>
        <w:left w:val="none" w:sz="0" w:space="0" w:color="auto"/>
        <w:bottom w:val="none" w:sz="0" w:space="0" w:color="auto"/>
        <w:right w:val="none" w:sz="0" w:space="0" w:color="auto"/>
      </w:divBdr>
    </w:div>
    <w:div w:id="1708213085">
      <w:bodyDiv w:val="1"/>
      <w:marLeft w:val="0"/>
      <w:marRight w:val="0"/>
      <w:marTop w:val="0"/>
      <w:marBottom w:val="0"/>
      <w:divBdr>
        <w:top w:val="none" w:sz="0" w:space="0" w:color="auto"/>
        <w:left w:val="none" w:sz="0" w:space="0" w:color="auto"/>
        <w:bottom w:val="none" w:sz="0" w:space="0" w:color="auto"/>
        <w:right w:val="none" w:sz="0" w:space="0" w:color="auto"/>
      </w:divBdr>
    </w:div>
    <w:div w:id="1767075894">
      <w:bodyDiv w:val="1"/>
      <w:marLeft w:val="0"/>
      <w:marRight w:val="0"/>
      <w:marTop w:val="0"/>
      <w:marBottom w:val="0"/>
      <w:divBdr>
        <w:top w:val="none" w:sz="0" w:space="0" w:color="auto"/>
        <w:left w:val="none" w:sz="0" w:space="0" w:color="auto"/>
        <w:bottom w:val="none" w:sz="0" w:space="0" w:color="auto"/>
        <w:right w:val="none" w:sz="0" w:space="0" w:color="auto"/>
      </w:divBdr>
      <w:divsChild>
        <w:div w:id="1417478557">
          <w:marLeft w:val="288"/>
          <w:marRight w:val="0"/>
          <w:marTop w:val="0"/>
          <w:marBottom w:val="120"/>
          <w:divBdr>
            <w:top w:val="none" w:sz="0" w:space="0" w:color="auto"/>
            <w:left w:val="none" w:sz="0" w:space="0" w:color="auto"/>
            <w:bottom w:val="none" w:sz="0" w:space="0" w:color="auto"/>
            <w:right w:val="none" w:sz="0" w:space="0" w:color="auto"/>
          </w:divBdr>
        </w:div>
        <w:div w:id="1848599415">
          <w:marLeft w:val="288"/>
          <w:marRight w:val="0"/>
          <w:marTop w:val="0"/>
          <w:marBottom w:val="120"/>
          <w:divBdr>
            <w:top w:val="none" w:sz="0" w:space="0" w:color="auto"/>
            <w:left w:val="none" w:sz="0" w:space="0" w:color="auto"/>
            <w:bottom w:val="none" w:sz="0" w:space="0" w:color="auto"/>
            <w:right w:val="none" w:sz="0" w:space="0" w:color="auto"/>
          </w:divBdr>
        </w:div>
      </w:divsChild>
    </w:div>
    <w:div w:id="1955477916">
      <w:bodyDiv w:val="1"/>
      <w:marLeft w:val="0"/>
      <w:marRight w:val="0"/>
      <w:marTop w:val="0"/>
      <w:marBottom w:val="0"/>
      <w:divBdr>
        <w:top w:val="none" w:sz="0" w:space="0" w:color="auto"/>
        <w:left w:val="none" w:sz="0" w:space="0" w:color="auto"/>
        <w:bottom w:val="none" w:sz="0" w:space="0" w:color="auto"/>
        <w:right w:val="none" w:sz="0" w:space="0" w:color="auto"/>
      </w:divBdr>
    </w:div>
    <w:div w:id="1974752238">
      <w:bodyDiv w:val="1"/>
      <w:marLeft w:val="0"/>
      <w:marRight w:val="0"/>
      <w:marTop w:val="0"/>
      <w:marBottom w:val="0"/>
      <w:divBdr>
        <w:top w:val="none" w:sz="0" w:space="0" w:color="auto"/>
        <w:left w:val="none" w:sz="0" w:space="0" w:color="auto"/>
        <w:bottom w:val="none" w:sz="0" w:space="0" w:color="auto"/>
        <w:right w:val="none" w:sz="0" w:space="0" w:color="auto"/>
      </w:divBdr>
      <w:divsChild>
        <w:div w:id="1976372841">
          <w:marLeft w:val="288"/>
          <w:marRight w:val="0"/>
          <w:marTop w:val="0"/>
          <w:marBottom w:val="120"/>
          <w:divBdr>
            <w:top w:val="none" w:sz="0" w:space="0" w:color="auto"/>
            <w:left w:val="none" w:sz="0" w:space="0" w:color="auto"/>
            <w:bottom w:val="none" w:sz="0" w:space="0" w:color="auto"/>
            <w:right w:val="none" w:sz="0" w:space="0" w:color="auto"/>
          </w:divBdr>
        </w:div>
        <w:div w:id="2039432537">
          <w:marLeft w:val="288"/>
          <w:marRight w:val="0"/>
          <w:marTop w:val="0"/>
          <w:marBottom w:val="120"/>
          <w:divBdr>
            <w:top w:val="none" w:sz="0" w:space="0" w:color="auto"/>
            <w:left w:val="none" w:sz="0" w:space="0" w:color="auto"/>
            <w:bottom w:val="none" w:sz="0" w:space="0" w:color="auto"/>
            <w:right w:val="none" w:sz="0" w:space="0" w:color="auto"/>
          </w:divBdr>
        </w:div>
      </w:divsChild>
    </w:div>
    <w:div w:id="2011829309">
      <w:bodyDiv w:val="1"/>
      <w:marLeft w:val="0"/>
      <w:marRight w:val="0"/>
      <w:marTop w:val="0"/>
      <w:marBottom w:val="0"/>
      <w:divBdr>
        <w:top w:val="none" w:sz="0" w:space="0" w:color="auto"/>
        <w:left w:val="none" w:sz="0" w:space="0" w:color="auto"/>
        <w:bottom w:val="none" w:sz="0" w:space="0" w:color="auto"/>
        <w:right w:val="none" w:sz="0" w:space="0" w:color="auto"/>
      </w:divBdr>
    </w:div>
    <w:div w:id="205391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Evolution des</a:t>
            </a:r>
            <a:r>
              <a:rPr lang="fr-FR" baseline="0"/>
              <a:t> prix HTVA en € du kg de GNV et du litre de Gazole professionnel</a:t>
            </a:r>
            <a:endParaRPr lang="fr-FR"/>
          </a:p>
        </c:rich>
      </c:tx>
      <c:layout>
        <c:manualLayout>
          <c:xMode val="edge"/>
          <c:yMode val="edge"/>
          <c:x val="0.19687499999999999"/>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Feuil1!$B$1</c:f>
              <c:strCache>
                <c:ptCount val="1"/>
                <c:pt idx="0">
                  <c:v>GNV</c:v>
                </c:pt>
              </c:strCache>
            </c:strRef>
          </c:tx>
          <c:spPr>
            <a:ln w="28575" cap="rnd">
              <a:solidFill>
                <a:schemeClr val="accent1"/>
              </a:solidFill>
              <a:round/>
            </a:ln>
            <a:effectLst/>
          </c:spPr>
          <c:marker>
            <c:symbol val="none"/>
          </c:marker>
          <c:cat>
            <c:numRef>
              <c:f>Feuil1!$A$2:$A$19</c:f>
              <c:numCache>
                <c:formatCode>mmm\-yy</c:formatCode>
                <c:ptCount val="18"/>
                <c:pt idx="0">
                  <c:v>44287</c:v>
                </c:pt>
                <c:pt idx="1">
                  <c:v>44317</c:v>
                </c:pt>
                <c:pt idx="2">
                  <c:v>44348</c:v>
                </c:pt>
                <c:pt idx="3">
                  <c:v>44378</c:v>
                </c:pt>
                <c:pt idx="4">
                  <c:v>44409</c:v>
                </c:pt>
                <c:pt idx="5">
                  <c:v>44440</c:v>
                </c:pt>
                <c:pt idx="6">
                  <c:v>44470</c:v>
                </c:pt>
                <c:pt idx="7">
                  <c:v>44501</c:v>
                </c:pt>
                <c:pt idx="8">
                  <c:v>44531</c:v>
                </c:pt>
                <c:pt idx="9">
                  <c:v>44562</c:v>
                </c:pt>
                <c:pt idx="10">
                  <c:v>44593</c:v>
                </c:pt>
                <c:pt idx="11">
                  <c:v>44621</c:v>
                </c:pt>
                <c:pt idx="12">
                  <c:v>44652</c:v>
                </c:pt>
                <c:pt idx="13">
                  <c:v>44682</c:v>
                </c:pt>
                <c:pt idx="14">
                  <c:v>44713</c:v>
                </c:pt>
                <c:pt idx="15">
                  <c:v>44743</c:v>
                </c:pt>
                <c:pt idx="16">
                  <c:v>44774</c:v>
                </c:pt>
                <c:pt idx="17">
                  <c:v>44805</c:v>
                </c:pt>
              </c:numCache>
            </c:numRef>
          </c:cat>
          <c:val>
            <c:numRef>
              <c:f>Feuil1!$B$2:$B$19</c:f>
              <c:numCache>
                <c:formatCode>General</c:formatCode>
                <c:ptCount val="18"/>
                <c:pt idx="0">
                  <c:v>0.76500000000000001</c:v>
                </c:pt>
                <c:pt idx="1">
                  <c:v>0.80599999999999994</c:v>
                </c:pt>
                <c:pt idx="2">
                  <c:v>0.876</c:v>
                </c:pt>
                <c:pt idx="3" formatCode="0.000">
                  <c:v>0.93781818181818177</c:v>
                </c:pt>
                <c:pt idx="4" formatCode="0.000">
                  <c:v>1.0459393939393939</c:v>
                </c:pt>
                <c:pt idx="5" formatCode="0.000">
                  <c:v>1.1744242424242424</c:v>
                </c:pt>
                <c:pt idx="6" formatCode="0.000">
                  <c:v>1.4713030303030303</c:v>
                </c:pt>
                <c:pt idx="7" formatCode="0.000">
                  <c:v>1.9054848484848486</c:v>
                </c:pt>
                <c:pt idx="8" formatCode="0.000">
                  <c:v>1.7291818181818182</c:v>
                </c:pt>
                <c:pt idx="9" formatCode="0.000">
                  <c:v>2.2518181818181819</c:v>
                </c:pt>
                <c:pt idx="10" formatCode="0.000">
                  <c:v>1.784909090909091</c:v>
                </c:pt>
                <c:pt idx="11" formatCode="0.000">
                  <c:v>1.7157121212121211</c:v>
                </c:pt>
                <c:pt idx="12" formatCode="0.000">
                  <c:v>2.2258030303030307</c:v>
                </c:pt>
                <c:pt idx="13" formatCode="0.000">
                  <c:v>1.7038333333333333</c:v>
                </c:pt>
                <c:pt idx="14" formatCode="0.000">
                  <c:v>1.5199393939393939</c:v>
                </c:pt>
                <c:pt idx="15" formatCode="0.000">
                  <c:v>1.7360606060606061</c:v>
                </c:pt>
                <c:pt idx="16" formatCode="0.000">
                  <c:v>2.311287878787879</c:v>
                </c:pt>
                <c:pt idx="17" formatCode="0.000">
                  <c:v>2.7272272727272728</c:v>
                </c:pt>
              </c:numCache>
            </c:numRef>
          </c:val>
          <c:smooth val="0"/>
          <c:extLst>
            <c:ext xmlns:c16="http://schemas.microsoft.com/office/drawing/2014/chart" uri="{C3380CC4-5D6E-409C-BE32-E72D297353CC}">
              <c16:uniqueId val="{00000000-FA32-4070-86BF-BBEF73168AC3}"/>
            </c:ext>
          </c:extLst>
        </c:ser>
        <c:ser>
          <c:idx val="1"/>
          <c:order val="1"/>
          <c:tx>
            <c:strRef>
              <c:f>Feuil1!$C$1</c:f>
              <c:strCache>
                <c:ptCount val="1"/>
                <c:pt idx="0">
                  <c:v>Gazole</c:v>
                </c:pt>
              </c:strCache>
            </c:strRef>
          </c:tx>
          <c:spPr>
            <a:ln w="28575" cap="rnd">
              <a:solidFill>
                <a:schemeClr val="accent2"/>
              </a:solidFill>
              <a:round/>
            </a:ln>
            <a:effectLst/>
          </c:spPr>
          <c:marker>
            <c:symbol val="none"/>
          </c:marker>
          <c:cat>
            <c:numRef>
              <c:f>Feuil1!$A$2:$A$19</c:f>
              <c:numCache>
                <c:formatCode>mmm\-yy</c:formatCode>
                <c:ptCount val="18"/>
                <c:pt idx="0">
                  <c:v>44287</c:v>
                </c:pt>
                <c:pt idx="1">
                  <c:v>44317</c:v>
                </c:pt>
                <c:pt idx="2">
                  <c:v>44348</c:v>
                </c:pt>
                <c:pt idx="3">
                  <c:v>44378</c:v>
                </c:pt>
                <c:pt idx="4">
                  <c:v>44409</c:v>
                </c:pt>
                <c:pt idx="5">
                  <c:v>44440</c:v>
                </c:pt>
                <c:pt idx="6">
                  <c:v>44470</c:v>
                </c:pt>
                <c:pt idx="7">
                  <c:v>44501</c:v>
                </c:pt>
                <c:pt idx="8">
                  <c:v>44531</c:v>
                </c:pt>
                <c:pt idx="9">
                  <c:v>44562</c:v>
                </c:pt>
                <c:pt idx="10">
                  <c:v>44593</c:v>
                </c:pt>
                <c:pt idx="11">
                  <c:v>44621</c:v>
                </c:pt>
                <c:pt idx="12">
                  <c:v>44652</c:v>
                </c:pt>
                <c:pt idx="13">
                  <c:v>44682</c:v>
                </c:pt>
                <c:pt idx="14">
                  <c:v>44713</c:v>
                </c:pt>
                <c:pt idx="15">
                  <c:v>44743</c:v>
                </c:pt>
                <c:pt idx="16">
                  <c:v>44774</c:v>
                </c:pt>
                <c:pt idx="17">
                  <c:v>44805</c:v>
                </c:pt>
              </c:numCache>
            </c:numRef>
          </c:cat>
          <c:val>
            <c:numRef>
              <c:f>Feuil1!$C$2:$C$19</c:f>
              <c:numCache>
                <c:formatCode>General</c:formatCode>
                <c:ptCount val="18"/>
                <c:pt idx="0">
                  <c:v>1.1453</c:v>
                </c:pt>
                <c:pt idx="1">
                  <c:v>1.159</c:v>
                </c:pt>
                <c:pt idx="2">
                  <c:v>1.1791</c:v>
                </c:pt>
                <c:pt idx="3" formatCode="0.000">
                  <c:v>1.1996</c:v>
                </c:pt>
                <c:pt idx="4" formatCode="0.000">
                  <c:v>1.1934</c:v>
                </c:pt>
                <c:pt idx="5" formatCode="0.000">
                  <c:v>1.2063999999999999</c:v>
                </c:pt>
                <c:pt idx="6" formatCode="0.000">
                  <c:v>1.2834000000000001</c:v>
                </c:pt>
                <c:pt idx="7" formatCode="0.000">
                  <c:v>1.2950999999999999</c:v>
                </c:pt>
                <c:pt idx="8" formatCode="0.000">
                  <c:v>1.2724</c:v>
                </c:pt>
                <c:pt idx="9" formatCode="0.000">
                  <c:v>1.3506</c:v>
                </c:pt>
                <c:pt idx="10" formatCode="0.000">
                  <c:v>1.4161000000000001</c:v>
                </c:pt>
                <c:pt idx="11" formatCode="0.000">
                  <c:v>1.7291500000000002</c:v>
                </c:pt>
                <c:pt idx="12" formatCode="0.000">
                  <c:v>1.5165000000000002</c:v>
                </c:pt>
                <c:pt idx="13" formatCode="0.000">
                  <c:v>1.53915</c:v>
                </c:pt>
                <c:pt idx="14" formatCode="0.000">
                  <c:v>1.6974500000000001</c:v>
                </c:pt>
                <c:pt idx="15" formatCode="0.000">
                  <c:v>1.6500000000000001</c:v>
                </c:pt>
                <c:pt idx="16" formatCode="0.000">
                  <c:v>1.6</c:v>
                </c:pt>
                <c:pt idx="17">
                  <c:v>1.5</c:v>
                </c:pt>
              </c:numCache>
            </c:numRef>
          </c:val>
          <c:smooth val="0"/>
          <c:extLst>
            <c:ext xmlns:c16="http://schemas.microsoft.com/office/drawing/2014/chart" uri="{C3380CC4-5D6E-409C-BE32-E72D297353CC}">
              <c16:uniqueId val="{00000001-FA32-4070-86BF-BBEF73168AC3}"/>
            </c:ext>
          </c:extLst>
        </c:ser>
        <c:ser>
          <c:idx val="2"/>
          <c:order val="2"/>
          <c:tx>
            <c:strRef>
              <c:f>Feuil1!$D$1</c:f>
              <c:strCache>
                <c:ptCount val="1"/>
                <c:pt idx="0">
                  <c:v>Colonne1</c:v>
                </c:pt>
              </c:strCache>
            </c:strRef>
          </c:tx>
          <c:spPr>
            <a:ln w="28575" cap="rnd">
              <a:solidFill>
                <a:schemeClr val="accent3"/>
              </a:solidFill>
              <a:round/>
            </a:ln>
            <a:effectLst/>
          </c:spPr>
          <c:marker>
            <c:symbol val="none"/>
          </c:marker>
          <c:cat>
            <c:numRef>
              <c:f>Feuil1!$A$2:$A$19</c:f>
              <c:numCache>
                <c:formatCode>mmm\-yy</c:formatCode>
                <c:ptCount val="18"/>
                <c:pt idx="0">
                  <c:v>44287</c:v>
                </c:pt>
                <c:pt idx="1">
                  <c:v>44317</c:v>
                </c:pt>
                <c:pt idx="2">
                  <c:v>44348</c:v>
                </c:pt>
                <c:pt idx="3">
                  <c:v>44378</c:v>
                </c:pt>
                <c:pt idx="4">
                  <c:v>44409</c:v>
                </c:pt>
                <c:pt idx="5">
                  <c:v>44440</c:v>
                </c:pt>
                <c:pt idx="6">
                  <c:v>44470</c:v>
                </c:pt>
                <c:pt idx="7">
                  <c:v>44501</c:v>
                </c:pt>
                <c:pt idx="8">
                  <c:v>44531</c:v>
                </c:pt>
                <c:pt idx="9">
                  <c:v>44562</c:v>
                </c:pt>
                <c:pt idx="10">
                  <c:v>44593</c:v>
                </c:pt>
                <c:pt idx="11">
                  <c:v>44621</c:v>
                </c:pt>
                <c:pt idx="12">
                  <c:v>44652</c:v>
                </c:pt>
                <c:pt idx="13">
                  <c:v>44682</c:v>
                </c:pt>
                <c:pt idx="14">
                  <c:v>44713</c:v>
                </c:pt>
                <c:pt idx="15">
                  <c:v>44743</c:v>
                </c:pt>
                <c:pt idx="16">
                  <c:v>44774</c:v>
                </c:pt>
                <c:pt idx="17">
                  <c:v>44805</c:v>
                </c:pt>
              </c:numCache>
            </c:numRef>
          </c:cat>
          <c:val>
            <c:numRef>
              <c:f>Feuil1!$D$2:$D$19</c:f>
              <c:numCache>
                <c:formatCode>General</c:formatCode>
                <c:ptCount val="18"/>
              </c:numCache>
            </c:numRef>
          </c:val>
          <c:smooth val="0"/>
          <c:extLst>
            <c:ext xmlns:c16="http://schemas.microsoft.com/office/drawing/2014/chart" uri="{C3380CC4-5D6E-409C-BE32-E72D297353CC}">
              <c16:uniqueId val="{00000002-FA32-4070-86BF-BBEF73168AC3}"/>
            </c:ext>
          </c:extLst>
        </c:ser>
        <c:dLbls>
          <c:showLegendKey val="0"/>
          <c:showVal val="0"/>
          <c:showCatName val="0"/>
          <c:showSerName val="0"/>
          <c:showPercent val="0"/>
          <c:showBubbleSize val="0"/>
        </c:dLbls>
        <c:smooth val="0"/>
        <c:axId val="14884768"/>
        <c:axId val="14885184"/>
      </c:lineChart>
      <c:dateAx>
        <c:axId val="1488476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885184"/>
        <c:crosses val="autoZero"/>
        <c:auto val="1"/>
        <c:lblOffset val="100"/>
        <c:baseTimeUnit val="months"/>
      </c:dateAx>
      <c:valAx>
        <c:axId val="14885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88476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a:outerShdw blurRad="50800" dist="38100" dir="2700000" algn="tl" rotWithShape="0">
        <a:prstClr val="black">
          <a:alpha val="40000"/>
        </a:prstClr>
      </a:outerShdw>
    </a:effectLst>
    <a:scene3d>
      <a:camera prst="orthographicFront"/>
      <a:lightRig rig="glow" dir="t">
        <a:rot lat="0" lon="0" rev="4800000"/>
      </a:lightRig>
    </a:scene3d>
    <a:sp3d prstMaterial="matte">
      <a:bevelT w="127000" h="63500"/>
    </a:sp3d>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mn-cs"/>
              </a:defRPr>
            </a:pPr>
            <a:r>
              <a:rPr lang="fr-FR" sz="1200"/>
              <a:t>Evolution du mix de commandes </a:t>
            </a:r>
            <a:r>
              <a:rPr lang="fr-FR" sz="1200" b="0" i="0" baseline="0">
                <a:effectLst/>
              </a:rPr>
              <a:t>d'IVECO en France </a:t>
            </a:r>
            <a:r>
              <a:rPr lang="fr-FR" sz="1200" b="0" i="0" u="none" strike="noStrike" baseline="0">
                <a:effectLst/>
              </a:rPr>
              <a:t>(PL ≥ 19 tonnes)</a:t>
            </a:r>
          </a:p>
        </c:rich>
      </c:tx>
      <c:layout>
        <c:manualLayout>
          <c:xMode val="edge"/>
          <c:yMode val="edge"/>
          <c:x val="0.24319550676197271"/>
          <c:y val="1.1904761904761904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mn-cs"/>
            </a:defRPr>
          </a:pPr>
          <a:endParaRPr lang="fr-FR"/>
        </a:p>
      </c:txPr>
    </c:title>
    <c:autoTitleDeleted val="0"/>
    <c:plotArea>
      <c:layout>
        <c:manualLayout>
          <c:layoutTarget val="inner"/>
          <c:xMode val="edge"/>
          <c:yMode val="edge"/>
          <c:x val="6.7028600591592713E-2"/>
          <c:y val="0.14300453982666117"/>
          <c:w val="0.90872095849129975"/>
          <c:h val="0.78188911384013438"/>
        </c:manualLayout>
      </c:layout>
      <c:lineChart>
        <c:grouping val="standard"/>
        <c:varyColors val="0"/>
        <c:ser>
          <c:idx val="0"/>
          <c:order val="0"/>
          <c:tx>
            <c:strRef>
              <c:f>Feuil1!$B$1</c:f>
              <c:strCache>
                <c:ptCount val="1"/>
                <c:pt idx="0">
                  <c:v>PL DIESEL</c:v>
                </c:pt>
              </c:strCache>
            </c:strRef>
          </c:tx>
          <c:spPr>
            <a:ln w="28575" cap="rnd">
              <a:solidFill>
                <a:schemeClr val="accent1"/>
              </a:solidFill>
              <a:round/>
            </a:ln>
            <a:effectLst/>
          </c:spPr>
          <c:marker>
            <c:symbol val="none"/>
          </c:marker>
          <c:cat>
            <c:strRef>
              <c:f>Feuil1!$A$2:$A$4</c:f>
              <c:strCache>
                <c:ptCount val="3"/>
                <c:pt idx="0">
                  <c:v>8 mois 2020</c:v>
                </c:pt>
                <c:pt idx="1">
                  <c:v>8 mois 2021</c:v>
                </c:pt>
                <c:pt idx="2">
                  <c:v>8 mois 2022</c:v>
                </c:pt>
              </c:strCache>
            </c:strRef>
          </c:cat>
          <c:val>
            <c:numRef>
              <c:f>Feuil1!$B$2:$B$4</c:f>
              <c:numCache>
                <c:formatCode>0%</c:formatCode>
                <c:ptCount val="3"/>
                <c:pt idx="0">
                  <c:v>0.63475699558173782</c:v>
                </c:pt>
                <c:pt idx="1">
                  <c:v>0.61171761280931591</c:v>
                </c:pt>
                <c:pt idx="2">
                  <c:v>0.8809946714031972</c:v>
                </c:pt>
              </c:numCache>
            </c:numRef>
          </c:val>
          <c:smooth val="0"/>
          <c:extLst>
            <c:ext xmlns:c16="http://schemas.microsoft.com/office/drawing/2014/chart" uri="{C3380CC4-5D6E-409C-BE32-E72D297353CC}">
              <c16:uniqueId val="{00000000-B8D5-4C71-8810-4E46EA990FCC}"/>
            </c:ext>
          </c:extLst>
        </c:ser>
        <c:ser>
          <c:idx val="1"/>
          <c:order val="1"/>
          <c:tx>
            <c:strRef>
              <c:f>Feuil1!$C$1</c:f>
              <c:strCache>
                <c:ptCount val="1"/>
                <c:pt idx="0">
                  <c:v>PL GNV-BioGNV</c:v>
                </c:pt>
              </c:strCache>
            </c:strRef>
          </c:tx>
          <c:spPr>
            <a:ln w="28575" cap="rnd">
              <a:solidFill>
                <a:schemeClr val="accent2"/>
              </a:solidFill>
              <a:round/>
            </a:ln>
            <a:effectLst/>
          </c:spPr>
          <c:marker>
            <c:symbol val="none"/>
          </c:marker>
          <c:cat>
            <c:strRef>
              <c:f>Feuil1!$A$2:$A$4</c:f>
              <c:strCache>
                <c:ptCount val="3"/>
                <c:pt idx="0">
                  <c:v>8 mois 2020</c:v>
                </c:pt>
                <c:pt idx="1">
                  <c:v>8 mois 2021</c:v>
                </c:pt>
                <c:pt idx="2">
                  <c:v>8 mois 2022</c:v>
                </c:pt>
              </c:strCache>
            </c:strRef>
          </c:cat>
          <c:val>
            <c:numRef>
              <c:f>Feuil1!$C$2:$C$4</c:f>
              <c:numCache>
                <c:formatCode>0%</c:formatCode>
                <c:ptCount val="3"/>
                <c:pt idx="0">
                  <c:v>0.36524300441826213</c:v>
                </c:pt>
                <c:pt idx="1">
                  <c:v>0.38828238719068414</c:v>
                </c:pt>
                <c:pt idx="2">
                  <c:v>0.11900532859680284</c:v>
                </c:pt>
              </c:numCache>
            </c:numRef>
          </c:val>
          <c:smooth val="0"/>
          <c:extLst>
            <c:ext xmlns:c16="http://schemas.microsoft.com/office/drawing/2014/chart" uri="{C3380CC4-5D6E-409C-BE32-E72D297353CC}">
              <c16:uniqueId val="{00000001-B8D5-4C71-8810-4E46EA990FCC}"/>
            </c:ext>
          </c:extLst>
        </c:ser>
        <c:dLbls>
          <c:showLegendKey val="0"/>
          <c:showVal val="0"/>
          <c:showCatName val="0"/>
          <c:showSerName val="0"/>
          <c:showPercent val="0"/>
          <c:showBubbleSize val="0"/>
        </c:dLbls>
        <c:smooth val="0"/>
        <c:axId val="2044692079"/>
        <c:axId val="2044688751"/>
      </c:lineChart>
      <c:catAx>
        <c:axId val="2044692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44688751"/>
        <c:crosses val="autoZero"/>
        <c:auto val="1"/>
        <c:lblAlgn val="ctr"/>
        <c:lblOffset val="100"/>
        <c:noMultiLvlLbl val="0"/>
      </c:catAx>
      <c:valAx>
        <c:axId val="2044688751"/>
        <c:scaling>
          <c:orientation val="minMax"/>
          <c:max val="0.9"/>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44692079"/>
        <c:crosses val="autoZero"/>
        <c:crossBetween val="between"/>
      </c:valAx>
      <c:spPr>
        <a:noFill/>
        <a:ln>
          <a:noFill/>
        </a:ln>
        <a:effectLst/>
      </c:spPr>
    </c:plotArea>
    <c:legend>
      <c:legendPos val="b"/>
      <c:layout>
        <c:manualLayout>
          <c:xMode val="edge"/>
          <c:yMode val="edge"/>
          <c:x val="0.80955366690274844"/>
          <c:y val="0.12920080202521114"/>
          <c:w val="0.18192031551611601"/>
          <c:h val="0.785082916018081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a:outerShdw blurRad="50800" dist="38100" dir="2700000" algn="tl" rotWithShape="0">
        <a:prstClr val="black">
          <a:alpha val="40000"/>
        </a:prstClr>
      </a:outerShdw>
    </a:effectLst>
    <a:scene3d>
      <a:camera prst="orthographicFront"/>
      <a:lightRig rig="threePt" dir="t"/>
    </a:scene3d>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7D243BAFD3A4A8144869EE94D7F48" ma:contentTypeVersion="16" ma:contentTypeDescription="Crée un document." ma:contentTypeScope="" ma:versionID="6963627cf0c53321659e8e21668a3daf">
  <xsd:schema xmlns:xsd="http://www.w3.org/2001/XMLSchema" xmlns:xs="http://www.w3.org/2001/XMLSchema" xmlns:p="http://schemas.microsoft.com/office/2006/metadata/properties" xmlns:ns2="47e36af1-3170-430c-ba1a-7dc9c3afa65e" xmlns:ns3="8d2c99da-ff98-42b6-9362-dd862abbf898" targetNamespace="http://schemas.microsoft.com/office/2006/metadata/properties" ma:root="true" ma:fieldsID="79679622f5713c9b63078343e0e6fc13" ns2:_="" ns3:_="">
    <xsd:import namespace="47e36af1-3170-430c-ba1a-7dc9c3afa65e"/>
    <xsd:import namespace="8d2c99da-ff98-42b6-9362-dd862abbf8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36af1-3170-430c-ba1a-7dc9c3afa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295a37f5-280e-4763-9d0a-a9add30f6008"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2c99da-ff98-42b6-9362-dd862abbf89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fb8b890-dd66-4ea5-bdae-c34d7249cadf}" ma:internalName="TaxCatchAll" ma:showField="CatchAllData" ma:web="8d2c99da-ff98-42b6-9362-dd862abbf89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2c99da-ff98-42b6-9362-dd862abbf898" xsi:nil="true"/>
    <lcf76f155ced4ddcb4097134ff3c332f xmlns="47e36af1-3170-430c-ba1a-7dc9c3afa65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Props1.xml><?xml version="1.0" encoding="utf-8"?>
<ds:datastoreItem xmlns:ds="http://schemas.openxmlformats.org/officeDocument/2006/customXml" ds:itemID="{DA1F6734-44CD-4A20-BBA9-CDF2BB07D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36af1-3170-430c-ba1a-7dc9c3afa65e"/>
    <ds:schemaRef ds:uri="8d2c99da-ff98-42b6-9362-dd862abbf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046E3-BC0A-447A-A2A3-F96BF056D909}">
  <ds:schemaRefs>
    <ds:schemaRef ds:uri="http://schemas.microsoft.com/sharepoint/v3/contenttype/forms"/>
  </ds:schemaRefs>
</ds:datastoreItem>
</file>

<file path=customXml/itemProps3.xml><?xml version="1.0" encoding="utf-8"?>
<ds:datastoreItem xmlns:ds="http://schemas.openxmlformats.org/officeDocument/2006/customXml" ds:itemID="{10E771F9-CEC5-4F3E-8DBE-D1DC34096165}">
  <ds:schemaRefs>
    <ds:schemaRef ds:uri="http://schemas.microsoft.com/office/2006/metadata/properties"/>
    <ds:schemaRef ds:uri="http://schemas.microsoft.com/office/infopath/2007/PartnerControls"/>
    <ds:schemaRef ds:uri="8d2c99da-ff98-42b6-9362-dd862abbf898"/>
    <ds:schemaRef ds:uri="47e36af1-3170-430c-ba1a-7dc9c3afa65e"/>
  </ds:schemaRefs>
</ds:datastoreItem>
</file>

<file path=customXml/itemProps4.xml><?xml version="1.0" encoding="utf-8"?>
<ds:datastoreItem xmlns:ds="http://schemas.openxmlformats.org/officeDocument/2006/customXml" ds:itemID="{A3C75D25-429E-4A3C-BD7A-0565ABD899A7}">
  <ds:schemaRefs>
    <ds:schemaRef ds:uri="http://schemas.openxmlformats.org/officeDocument/2006/bibliography"/>
  </ds:schemaRefs>
</ds:datastoreItem>
</file>

<file path=customXml/itemProps5.xml><?xml version="1.0" encoding="utf-8"?>
<ds:datastoreItem xmlns:ds="http://schemas.openxmlformats.org/officeDocument/2006/customXml" ds:itemID="{78DDFB28-06DF-4AE3-88FE-E5344C3EF2D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1444</Words>
  <Characters>7944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Sfarti, Francois</dc:creator>
  <cp:keywords/>
  <dc:description/>
  <cp:lastModifiedBy>FRANCOIS Lea (Gaz Réseau Distribution France)</cp:lastModifiedBy>
  <cp:revision>2</cp:revision>
  <cp:lastPrinted>2022-09-22T14:06:00Z</cp:lastPrinted>
  <dcterms:created xsi:type="dcterms:W3CDTF">2022-09-22T14:32:00Z</dcterms:created>
  <dcterms:modified xsi:type="dcterms:W3CDTF">2022-09-22T14:32:00Z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0x0101007317D243BAFD3A4A8144869EE94D7F48</vt:lpwstr>
  </property>
  <property fmtid="{D5CDD505-2E9C-101B-9397-08002B2CF9AE}" pid="3" name="MSIP_Label_c135c4ba-2280-41f8-be7d-6f21d368baa3_Enabled">
    <vt:lpwstr>true</vt:lpwstr>
  </property>
  <property fmtid="{D5CDD505-2E9C-101B-9397-08002B2CF9AE}" pid="4" name="MSIP_Label_c135c4ba-2280-41f8-be7d-6f21d368baa3_SetDate">
    <vt:lpwstr>2022-08-02T09:06:49Z</vt:lpwstr>
  </property>
  <property fmtid="{D5CDD505-2E9C-101B-9397-08002B2CF9AE}" pid="5" name="MSIP_Label_c135c4ba-2280-41f8-be7d-6f21d368baa3_Method">
    <vt:lpwstr>Standard</vt:lpwstr>
  </property>
  <property fmtid="{D5CDD505-2E9C-101B-9397-08002B2CF9AE}" pid="6" name="MSIP_Label_c135c4ba-2280-41f8-be7d-6f21d368baa3_Name">
    <vt:lpwstr>c135c4ba-2280-41f8-be7d-6f21d368baa3</vt:lpwstr>
  </property>
  <property fmtid="{D5CDD505-2E9C-101B-9397-08002B2CF9AE}" pid="7" name="MSIP_Label_c135c4ba-2280-41f8-be7d-6f21d368baa3_SiteId">
    <vt:lpwstr>24139d14-c62c-4c47-8bdd-ce71ea1d50cf</vt:lpwstr>
  </property>
  <property fmtid="{D5CDD505-2E9C-101B-9397-08002B2CF9AE}" pid="8" name="MSIP_Label_c135c4ba-2280-41f8-be7d-6f21d368baa3_ActionId">
    <vt:lpwstr>8318e233-7391-458c-b317-6449bd9f4862</vt:lpwstr>
  </property>
  <property fmtid="{D5CDD505-2E9C-101B-9397-08002B2CF9AE}" pid="9" name="MSIP_Label_c135c4ba-2280-41f8-be7d-6f21d368baa3_ContentBits">
    <vt:lpwstr>0</vt:lpwstr>
  </property>
  <property fmtid="{D5CDD505-2E9C-101B-9397-08002B2CF9AE}" pid="10" name="docIndexRef">
    <vt:lpwstr>0157736e-e4b7-43d4-9def-928a60e54f15</vt:lpwstr>
  </property>
  <property fmtid="{D5CDD505-2E9C-101B-9397-08002B2CF9AE}" pid="11" name="bjSaver">
    <vt:lpwstr>pJgeK7vYndGvHt2mH1lKv12ea7F7DMXu</vt:lpwstr>
  </property>
  <property fmtid="{D5CDD505-2E9C-101B-9397-08002B2CF9AE}" pid="12"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13" name="bjDocumentLabelXML-0">
    <vt:lpwstr>ames.com/2008/01/sie/internal/label"&gt;&lt;element uid="4ecbf47d-2ec6-497d-85fc-f65b66e62fe7" value="" /&gt;&lt;element uid="588104ae-2895-48f0-94e0-4417fcf0f7f0" value="" /&gt;&lt;/sisl&gt;</vt:lpwstr>
  </property>
  <property fmtid="{D5CDD505-2E9C-101B-9397-08002B2CF9AE}" pid="14" name="bjDocumentSecurityLabel">
    <vt:lpwstr>CNH Industrial: GENERAL BUSINESS  Contains no personal data</vt:lpwstr>
  </property>
  <property fmtid="{D5CDD505-2E9C-101B-9397-08002B2CF9AE}" pid="15" name="CNH-LabelledBy:">
    <vt:lpwstr>PA995,03/08/2022 19:20:20,GENERAL BUSINESS</vt:lpwstr>
  </property>
  <property fmtid="{D5CDD505-2E9C-101B-9397-08002B2CF9AE}" pid="16" name="CNH-Classification">
    <vt:lpwstr>[GENERAL BUSINESS - Contains no personal data]</vt:lpwstr>
  </property>
  <property fmtid="{D5CDD505-2E9C-101B-9397-08002B2CF9AE}" pid="17" name="bjClsUserRVM">
    <vt:lpwstr>[]</vt:lpwstr>
  </property>
  <property fmtid="{D5CDD505-2E9C-101B-9397-08002B2CF9AE}" pid="18" name="MSIP_Label_2b30ed1b-e95f-40b5-af89-828263f287a7_Enabled">
    <vt:lpwstr>true</vt:lpwstr>
  </property>
  <property fmtid="{D5CDD505-2E9C-101B-9397-08002B2CF9AE}" pid="19" name="MSIP_Label_2b30ed1b-e95f-40b5-af89-828263f287a7_SetDate">
    <vt:lpwstr>2022-08-24T13:10:32Z</vt:lpwstr>
  </property>
  <property fmtid="{D5CDD505-2E9C-101B-9397-08002B2CF9AE}" pid="20" name="MSIP_Label_2b30ed1b-e95f-40b5-af89-828263f287a7_Method">
    <vt:lpwstr>Privileged</vt:lpwstr>
  </property>
  <property fmtid="{D5CDD505-2E9C-101B-9397-08002B2CF9AE}" pid="21" name="MSIP_Label_2b30ed1b-e95f-40b5-af89-828263f287a7_Name">
    <vt:lpwstr>2b30ed1b-e95f-40b5-af89-828263f287a7</vt:lpwstr>
  </property>
  <property fmtid="{D5CDD505-2E9C-101B-9397-08002B2CF9AE}" pid="22" name="MSIP_Label_2b30ed1b-e95f-40b5-af89-828263f287a7_SiteId">
    <vt:lpwstr>329e91b0-e21f-48fb-a071-456717ecc28e</vt:lpwstr>
  </property>
  <property fmtid="{D5CDD505-2E9C-101B-9397-08002B2CF9AE}" pid="23" name="MSIP_Label_2b30ed1b-e95f-40b5-af89-828263f287a7_ActionId">
    <vt:lpwstr>51019cca-d16b-4c13-ad22-0ba0ae723dd4</vt:lpwstr>
  </property>
  <property fmtid="{D5CDD505-2E9C-101B-9397-08002B2CF9AE}" pid="24" name="MSIP_Label_2b30ed1b-e95f-40b5-af89-828263f287a7_ContentBits">
    <vt:lpwstr>0</vt:lpwstr>
  </property>
  <property fmtid="{D5CDD505-2E9C-101B-9397-08002B2CF9AE}" pid="25" name="MSIP_Label_4ae69f3c-20af-4628-9e84-0433462751ee_Enabled">
    <vt:lpwstr>true</vt:lpwstr>
  </property>
  <property fmtid="{D5CDD505-2E9C-101B-9397-08002B2CF9AE}" pid="26" name="MSIP_Label_4ae69f3c-20af-4628-9e84-0433462751ee_SetDate">
    <vt:lpwstr>2022-09-13T09:00:36Z</vt:lpwstr>
  </property>
  <property fmtid="{D5CDD505-2E9C-101B-9397-08002B2CF9AE}" pid="27" name="MSIP_Label_4ae69f3c-20af-4628-9e84-0433462751ee_Method">
    <vt:lpwstr>Standard</vt:lpwstr>
  </property>
  <property fmtid="{D5CDD505-2E9C-101B-9397-08002B2CF9AE}" pid="28" name="MSIP_Label_4ae69f3c-20af-4628-9e84-0433462751ee_Name">
    <vt:lpwstr>General Business - No Personal Data</vt:lpwstr>
  </property>
  <property fmtid="{D5CDD505-2E9C-101B-9397-08002B2CF9AE}" pid="29" name="MSIP_Label_4ae69f3c-20af-4628-9e84-0433462751ee_SiteId">
    <vt:lpwstr>79310fb0-d39b-486b-b77b-25f3e0c82a0e</vt:lpwstr>
  </property>
  <property fmtid="{D5CDD505-2E9C-101B-9397-08002B2CF9AE}" pid="30" name="MSIP_Label_4ae69f3c-20af-4628-9e84-0433462751ee_ActionId">
    <vt:lpwstr>68c69d11-24a5-4669-8876-defdce9bf6cf</vt:lpwstr>
  </property>
  <property fmtid="{D5CDD505-2E9C-101B-9397-08002B2CF9AE}" pid="31" name="MSIP_Label_4ae69f3c-20af-4628-9e84-0433462751ee_ContentBits">
    <vt:lpwstr>0</vt:lpwstr>
  </property>
  <property fmtid="{D5CDD505-2E9C-101B-9397-08002B2CF9AE}" pid="32" name="Order">
    <vt:r8>22000</vt:r8>
  </property>
  <property fmtid="{D5CDD505-2E9C-101B-9397-08002B2CF9AE}" pid="33" name="ComplianceAssetId">
    <vt:lpwstr/>
  </property>
  <property fmtid="{D5CDD505-2E9C-101B-9397-08002B2CF9AE}" pid="34" name="_ExtendedDescription">
    <vt:lpwstr/>
  </property>
  <property fmtid="{D5CDD505-2E9C-101B-9397-08002B2CF9AE}" pid="35" name="TriggerFlowInfo">
    <vt:lpwstr/>
  </property>
  <property fmtid="{D5CDD505-2E9C-101B-9397-08002B2CF9AE}" pid="36" name="MediaServiceImageTags">
    <vt:lpwstr/>
  </property>
</Properties>
</file>